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29010" w14:textId="77777777" w:rsidR="00F13DFC" w:rsidRPr="00AF7808" w:rsidRDefault="00F13DFC" w:rsidP="00F13DFC">
      <w:pPr>
        <w:ind w:left="4962"/>
        <w:contextualSpacing/>
        <w:rPr>
          <w:lang w:val="lt-LT"/>
        </w:rPr>
      </w:pPr>
      <w:r w:rsidRPr="00AF7808">
        <w:rPr>
          <w:lang w:val="lt-LT"/>
        </w:rPr>
        <w:t>PATVIRTINTA</w:t>
      </w:r>
    </w:p>
    <w:p w14:paraId="3E429011" w14:textId="77777777" w:rsidR="00F13DFC" w:rsidRPr="00AF7808" w:rsidRDefault="00F13DFC" w:rsidP="00F13DFC">
      <w:pPr>
        <w:ind w:left="4962"/>
        <w:contextualSpacing/>
        <w:rPr>
          <w:lang w:val="lt-LT"/>
        </w:rPr>
      </w:pPr>
      <w:r w:rsidRPr="00AF7808">
        <w:rPr>
          <w:lang w:val="lt-LT"/>
        </w:rPr>
        <w:t>Vilniaus universiteto rektoriaus</w:t>
      </w:r>
    </w:p>
    <w:p w14:paraId="3E429012" w14:textId="35465431" w:rsidR="00F13DFC" w:rsidRPr="00AF7808" w:rsidRDefault="00F13DFC" w:rsidP="00F13DFC">
      <w:pPr>
        <w:ind w:left="4962"/>
        <w:contextualSpacing/>
        <w:rPr>
          <w:lang w:val="lt-LT"/>
        </w:rPr>
      </w:pPr>
      <w:r w:rsidRPr="00AF7808">
        <w:rPr>
          <w:lang w:val="lt-LT"/>
        </w:rPr>
        <w:t>201</w:t>
      </w:r>
      <w:r w:rsidR="00341FA5" w:rsidRPr="00AF7808">
        <w:rPr>
          <w:lang w:val="lt-LT"/>
        </w:rPr>
        <w:t>8</w:t>
      </w:r>
      <w:r w:rsidRPr="00AF7808">
        <w:rPr>
          <w:lang w:val="lt-LT"/>
        </w:rPr>
        <w:t xml:space="preserve"> m. </w:t>
      </w:r>
      <w:r w:rsidR="00392E2E">
        <w:rPr>
          <w:lang w:val="lt-LT"/>
        </w:rPr>
        <w:t>kovo 27 d.</w:t>
      </w:r>
      <w:r w:rsidRPr="00AF7808">
        <w:rPr>
          <w:lang w:val="lt-LT"/>
        </w:rPr>
        <w:t xml:space="preserve"> įsakymu Nr. R-</w:t>
      </w:r>
      <w:r w:rsidR="00392E2E">
        <w:rPr>
          <w:lang w:val="lt-LT"/>
        </w:rPr>
        <w:t>195</w:t>
      </w:r>
    </w:p>
    <w:p w14:paraId="3E429013" w14:textId="77777777" w:rsidR="00F13DFC" w:rsidRPr="00AF7808" w:rsidRDefault="00F13DFC" w:rsidP="00F13DFC">
      <w:pPr>
        <w:pStyle w:val="Title"/>
        <w:spacing w:line="240" w:lineRule="auto"/>
      </w:pPr>
    </w:p>
    <w:p w14:paraId="3E429014" w14:textId="77777777" w:rsidR="00F13DFC" w:rsidRPr="00AF7808" w:rsidRDefault="00F13DFC" w:rsidP="00F13DFC">
      <w:pPr>
        <w:pStyle w:val="Title"/>
        <w:spacing w:line="240" w:lineRule="auto"/>
      </w:pPr>
      <w:r w:rsidRPr="00AF7808">
        <w:t>VILNIAUS UNIVERSITETO TARPTAUTINIŲ SANTYKIŲ IR POLITIKOS MOKSLŲ INSTITUTO SKATINIMO UŽ AUKŠTO LYGIO MOKSLO PASIEKIMUS TVARKOS APRAŠAS</w:t>
      </w:r>
    </w:p>
    <w:p w14:paraId="3E429015" w14:textId="77777777" w:rsidR="00F13DFC" w:rsidRPr="00AF7808" w:rsidRDefault="00F13DFC" w:rsidP="00F13DFC">
      <w:pPr>
        <w:pStyle w:val="Title"/>
        <w:spacing w:line="240" w:lineRule="auto"/>
      </w:pPr>
    </w:p>
    <w:p w14:paraId="3E429016" w14:textId="77777777" w:rsidR="00F13DFC" w:rsidRPr="00AF7808" w:rsidRDefault="00F13DFC" w:rsidP="00F13DFC">
      <w:pPr>
        <w:tabs>
          <w:tab w:val="left" w:pos="900"/>
        </w:tabs>
        <w:contextualSpacing/>
        <w:jc w:val="center"/>
        <w:rPr>
          <w:b/>
          <w:lang w:val="lt-LT"/>
        </w:rPr>
      </w:pPr>
      <w:r w:rsidRPr="00AF7808">
        <w:rPr>
          <w:b/>
          <w:lang w:val="lt-LT"/>
        </w:rPr>
        <w:t>I SKYRIUS</w:t>
      </w:r>
    </w:p>
    <w:p w14:paraId="3E429017" w14:textId="77777777" w:rsidR="00F13DFC" w:rsidRPr="00AF7808" w:rsidRDefault="00F13DFC" w:rsidP="00F13DFC">
      <w:pPr>
        <w:tabs>
          <w:tab w:val="left" w:pos="900"/>
        </w:tabs>
        <w:contextualSpacing/>
        <w:jc w:val="center"/>
        <w:rPr>
          <w:b/>
          <w:lang w:val="lt-LT"/>
        </w:rPr>
      </w:pPr>
      <w:r w:rsidRPr="00AF7808">
        <w:rPr>
          <w:b/>
          <w:lang w:val="lt-LT"/>
        </w:rPr>
        <w:t>BENDROSIOS NUOSTATOS</w:t>
      </w:r>
    </w:p>
    <w:p w14:paraId="3E429018" w14:textId="77777777" w:rsidR="00F13DFC" w:rsidRPr="00AF7808" w:rsidRDefault="00F13DFC" w:rsidP="00F13DFC">
      <w:pPr>
        <w:tabs>
          <w:tab w:val="left" w:pos="900"/>
        </w:tabs>
        <w:contextualSpacing/>
        <w:jc w:val="center"/>
        <w:rPr>
          <w:b/>
          <w:lang w:val="lt-LT"/>
        </w:rPr>
      </w:pPr>
    </w:p>
    <w:p w14:paraId="3E429019" w14:textId="77777777" w:rsidR="00F13DFC" w:rsidRPr="00AF7808" w:rsidRDefault="00F13DFC" w:rsidP="00F13DFC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F7808">
        <w:rPr>
          <w:rFonts w:ascii="Times New Roman" w:hAnsi="Times New Roman"/>
          <w:sz w:val="24"/>
          <w:szCs w:val="24"/>
        </w:rPr>
        <w:t xml:space="preserve">Vilniaus universiteto Tarptautinių santykių ir politikos mokslų instituto </w:t>
      </w:r>
      <w:bookmarkStart w:id="0" w:name="_GoBack"/>
      <w:r w:rsidRPr="00AF7808">
        <w:rPr>
          <w:rFonts w:ascii="Times New Roman" w:hAnsi="Times New Roman"/>
          <w:sz w:val="24"/>
          <w:szCs w:val="24"/>
        </w:rPr>
        <w:t xml:space="preserve">skatinimo už aukšto lygio mokslo pasiekimus tvarkos aprašo </w:t>
      </w:r>
      <w:bookmarkEnd w:id="0"/>
      <w:r w:rsidRPr="00AF7808">
        <w:rPr>
          <w:rFonts w:ascii="Times New Roman" w:hAnsi="Times New Roman"/>
          <w:sz w:val="24"/>
          <w:szCs w:val="24"/>
        </w:rPr>
        <w:t>(toliau – Aprašas) tikslas – motyvuoti Vilniaus universiteto (toliau – Universitetas) Tarptautinių santykių ir politikos mokslų instituto (toliau – TSPMI) akademinius darbuotojus (toliau – Tyrėjai) vykdyti aukšto lygio mokslinius tyrimus, gerinti</w:t>
      </w:r>
      <w:r w:rsidR="004C46D1" w:rsidRPr="00AF7808">
        <w:rPr>
          <w:rFonts w:ascii="Times New Roman" w:hAnsi="Times New Roman"/>
          <w:sz w:val="24"/>
          <w:szCs w:val="24"/>
        </w:rPr>
        <w:t xml:space="preserve"> TSPMI </w:t>
      </w:r>
      <w:r w:rsidRPr="00AF7808">
        <w:rPr>
          <w:rFonts w:ascii="Times New Roman" w:hAnsi="Times New Roman"/>
          <w:sz w:val="24"/>
          <w:szCs w:val="24"/>
        </w:rPr>
        <w:t>mokslinės</w:t>
      </w:r>
      <w:r w:rsidR="004C46D1" w:rsidRPr="00AF7808">
        <w:rPr>
          <w:rFonts w:ascii="Times New Roman" w:hAnsi="Times New Roman"/>
          <w:sz w:val="24"/>
          <w:szCs w:val="24"/>
        </w:rPr>
        <w:t xml:space="preserve"> produkcijos kokybę ir TSPMI</w:t>
      </w:r>
      <w:r w:rsidRPr="00AF7808">
        <w:rPr>
          <w:rFonts w:ascii="Times New Roman" w:hAnsi="Times New Roman"/>
          <w:sz w:val="24"/>
          <w:szCs w:val="24"/>
        </w:rPr>
        <w:t xml:space="preserve"> akademinę reputaciją.</w:t>
      </w:r>
    </w:p>
    <w:p w14:paraId="3E42901A" w14:textId="77777777" w:rsidR="00F13DFC" w:rsidRPr="00AF7808" w:rsidRDefault="00F13DFC" w:rsidP="00F13DFC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F7808">
        <w:rPr>
          <w:rFonts w:ascii="Times New Roman" w:hAnsi="Times New Roman"/>
          <w:sz w:val="24"/>
          <w:szCs w:val="24"/>
        </w:rPr>
        <w:t>Aprašas taikomas visiems Tyrėjams, publikavusiems straipsnius, monografijas ar jų dalis</w:t>
      </w:r>
      <w:r w:rsidR="00800CE8" w:rsidRPr="00AF7808">
        <w:rPr>
          <w:rFonts w:ascii="Times New Roman" w:hAnsi="Times New Roman"/>
          <w:sz w:val="24"/>
          <w:szCs w:val="24"/>
        </w:rPr>
        <w:t xml:space="preserve"> bei pasiekusiems kitų reikšmingų mokslo pasiekimų</w:t>
      </w:r>
      <w:r w:rsidRPr="00AF7808">
        <w:rPr>
          <w:rFonts w:ascii="Times New Roman" w:hAnsi="Times New Roman"/>
          <w:sz w:val="24"/>
          <w:szCs w:val="24"/>
        </w:rPr>
        <w:t xml:space="preserve"> su TSPMI </w:t>
      </w:r>
      <w:proofErr w:type="spellStart"/>
      <w:r w:rsidRPr="00AF7808">
        <w:rPr>
          <w:rFonts w:ascii="Times New Roman" w:hAnsi="Times New Roman"/>
          <w:sz w:val="24"/>
          <w:szCs w:val="24"/>
        </w:rPr>
        <w:t>prieskyra</w:t>
      </w:r>
      <w:proofErr w:type="spellEnd"/>
      <w:r w:rsidRPr="00AF7808">
        <w:rPr>
          <w:rFonts w:ascii="Times New Roman" w:hAnsi="Times New Roman"/>
          <w:sz w:val="24"/>
          <w:szCs w:val="24"/>
        </w:rPr>
        <w:t>.</w:t>
      </w:r>
    </w:p>
    <w:p w14:paraId="3E42901B" w14:textId="77777777" w:rsidR="00F13DFC" w:rsidRPr="00AF7808" w:rsidRDefault="00F13DFC" w:rsidP="00F13DFC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F7808">
        <w:rPr>
          <w:rFonts w:ascii="Times New Roman" w:hAnsi="Times New Roman"/>
          <w:b/>
          <w:sz w:val="24"/>
          <w:szCs w:val="24"/>
        </w:rPr>
        <w:br/>
        <w:t>II SKYRIUS</w:t>
      </w:r>
    </w:p>
    <w:p w14:paraId="3E42901C" w14:textId="77777777" w:rsidR="00F13DFC" w:rsidRPr="00AF7808" w:rsidRDefault="00F13DFC" w:rsidP="00F13DFC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F7808">
        <w:rPr>
          <w:rFonts w:ascii="Times New Roman" w:hAnsi="Times New Roman"/>
          <w:b/>
          <w:sz w:val="24"/>
          <w:szCs w:val="24"/>
        </w:rPr>
        <w:t>SKATINIMO UŽ AUKŠTO LYGIO MOKSLO PASIEKIMUS TVARKA</w:t>
      </w:r>
    </w:p>
    <w:p w14:paraId="3E42901D" w14:textId="77777777" w:rsidR="00F13DFC" w:rsidRPr="00AF7808" w:rsidRDefault="00F13DFC" w:rsidP="004C46D1">
      <w:pPr>
        <w:pStyle w:val="ListParagraph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E42901E" w14:textId="77777777" w:rsidR="00341FA5" w:rsidRPr="00AF7808" w:rsidRDefault="00F13DFC" w:rsidP="004B1E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808">
        <w:rPr>
          <w:rFonts w:ascii="Times New Roman" w:hAnsi="Times New Roman"/>
          <w:sz w:val="24"/>
          <w:szCs w:val="24"/>
        </w:rPr>
        <w:t>Tyrėjai</w:t>
      </w:r>
      <w:r w:rsidR="008B11C3" w:rsidRPr="00AF7808">
        <w:rPr>
          <w:rFonts w:ascii="Times New Roman" w:hAnsi="Times New Roman"/>
          <w:sz w:val="24"/>
          <w:szCs w:val="24"/>
        </w:rPr>
        <w:t xml:space="preserve"> už aukšto lygio mokslo pasiekimus</w:t>
      </w:r>
      <w:r w:rsidRPr="00AF7808">
        <w:rPr>
          <w:rFonts w:ascii="Times New Roman" w:hAnsi="Times New Roman"/>
          <w:sz w:val="24"/>
          <w:szCs w:val="24"/>
        </w:rPr>
        <w:t xml:space="preserve"> yra skatinami</w:t>
      </w:r>
      <w:r w:rsidR="008B11C3" w:rsidRPr="00AF7808">
        <w:rPr>
          <w:rFonts w:ascii="Times New Roman" w:hAnsi="Times New Roman"/>
          <w:sz w:val="24"/>
          <w:szCs w:val="24"/>
        </w:rPr>
        <w:t xml:space="preserve"> skiriant jiems vienkartines premijas iš Skatinimo fondo lėšų</w:t>
      </w:r>
      <w:r w:rsidRPr="00AF7808">
        <w:rPr>
          <w:rFonts w:ascii="Times New Roman" w:hAnsi="Times New Roman"/>
          <w:sz w:val="24"/>
          <w:szCs w:val="24"/>
        </w:rPr>
        <w:t xml:space="preserve">. </w:t>
      </w:r>
      <w:r w:rsidR="008B11C3" w:rsidRPr="00AF7808">
        <w:rPr>
          <w:rFonts w:ascii="Times New Roman" w:hAnsi="Times New Roman"/>
          <w:sz w:val="24"/>
          <w:szCs w:val="24"/>
        </w:rPr>
        <w:t>Skatinimo fondo dydį, a</w:t>
      </w:r>
      <w:r w:rsidRPr="00AF7808">
        <w:rPr>
          <w:rFonts w:ascii="Times New Roman" w:hAnsi="Times New Roman"/>
          <w:sz w:val="24"/>
          <w:szCs w:val="24"/>
        </w:rPr>
        <w:t>tsižvelgiant į TSMPI biudžetinį finansavimą už mokslo rezultatus, kitas pajamas ir išlaidas bei įvertinant prognozuojamas išlaidas premijoms</w:t>
      </w:r>
      <w:r w:rsidR="008B11C3" w:rsidRPr="00AF7808">
        <w:rPr>
          <w:rFonts w:ascii="Times New Roman" w:hAnsi="Times New Roman"/>
          <w:sz w:val="24"/>
          <w:szCs w:val="24"/>
        </w:rPr>
        <w:t>,</w:t>
      </w:r>
      <w:r w:rsidRPr="00AF7808">
        <w:rPr>
          <w:rFonts w:ascii="Times New Roman" w:hAnsi="Times New Roman"/>
          <w:sz w:val="24"/>
          <w:szCs w:val="24"/>
        </w:rPr>
        <w:t xml:space="preserve"> kiekvienais metais TSMPI direktoriaus</w:t>
      </w:r>
      <w:r w:rsidR="008B11C3" w:rsidRPr="00AF7808">
        <w:rPr>
          <w:rFonts w:ascii="Times New Roman" w:hAnsi="Times New Roman"/>
          <w:sz w:val="24"/>
          <w:szCs w:val="24"/>
        </w:rPr>
        <w:t xml:space="preserve"> teikimu tvirtina TSMPI taryba.</w:t>
      </w:r>
      <w:r w:rsidR="00341FA5" w:rsidRPr="00AF7808">
        <w:rPr>
          <w:rFonts w:ascii="Times New Roman" w:hAnsi="Times New Roman"/>
          <w:sz w:val="24"/>
          <w:szCs w:val="24"/>
        </w:rPr>
        <w:t xml:space="preserve"> </w:t>
      </w:r>
      <w:r w:rsidR="004B1E4A" w:rsidRPr="004B1E4A">
        <w:rPr>
          <w:rFonts w:ascii="Times New Roman" w:hAnsi="Times New Roman"/>
          <w:sz w:val="24"/>
          <w:szCs w:val="24"/>
        </w:rPr>
        <w:t>Skatinimo fondui skiriama akademinių darbuotojų darbo užmokesčio fondo dalis, kuri yra apibrėžta Vilniaus universiteto darbuotojų darbo užmokesčio tvarkos apraše ir kituose Universiteto teisės aktuose</w:t>
      </w:r>
    </w:p>
    <w:p w14:paraId="3E42901F" w14:textId="77777777" w:rsidR="00F13DFC" w:rsidRPr="00AF7808" w:rsidRDefault="007B6BBF" w:rsidP="004C46D1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808">
        <w:rPr>
          <w:rFonts w:ascii="Times New Roman" w:hAnsi="Times New Roman"/>
          <w:sz w:val="24"/>
          <w:szCs w:val="24"/>
        </w:rPr>
        <w:t>P</w:t>
      </w:r>
      <w:r w:rsidR="008B11C3" w:rsidRPr="00AF7808">
        <w:rPr>
          <w:rFonts w:ascii="Times New Roman" w:hAnsi="Times New Roman"/>
          <w:sz w:val="24"/>
          <w:szCs w:val="24"/>
        </w:rPr>
        <w:t>remijos skiriamos</w:t>
      </w:r>
      <w:r w:rsidR="00F13DFC" w:rsidRPr="00AF7808">
        <w:rPr>
          <w:rFonts w:ascii="Times New Roman" w:hAnsi="Times New Roman"/>
          <w:sz w:val="24"/>
          <w:szCs w:val="24"/>
        </w:rPr>
        <w:t xml:space="preserve"> už š</w:t>
      </w:r>
      <w:r w:rsidR="008B11C3" w:rsidRPr="00AF7808">
        <w:rPr>
          <w:rFonts w:ascii="Times New Roman" w:hAnsi="Times New Roman"/>
          <w:sz w:val="24"/>
          <w:szCs w:val="24"/>
        </w:rPr>
        <w:t>iuos</w:t>
      </w:r>
      <w:r w:rsidR="00F13DFC" w:rsidRPr="00AF7808">
        <w:rPr>
          <w:rFonts w:ascii="Times New Roman" w:hAnsi="Times New Roman"/>
          <w:sz w:val="24"/>
          <w:szCs w:val="24"/>
        </w:rPr>
        <w:t xml:space="preserve"> aukšto lygio moksl</w:t>
      </w:r>
      <w:r w:rsidR="008B11C3" w:rsidRPr="00AF7808">
        <w:rPr>
          <w:rFonts w:ascii="Times New Roman" w:hAnsi="Times New Roman"/>
          <w:sz w:val="24"/>
          <w:szCs w:val="24"/>
        </w:rPr>
        <w:t>o pasiekimus:</w:t>
      </w:r>
    </w:p>
    <w:p w14:paraId="3E429020" w14:textId="77777777" w:rsidR="008B11C3" w:rsidRPr="00AF7808" w:rsidRDefault="008B11C3" w:rsidP="004C46D1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808">
        <w:rPr>
          <w:rFonts w:ascii="Times New Roman" w:hAnsi="Times New Roman"/>
          <w:sz w:val="24"/>
          <w:szCs w:val="24"/>
        </w:rPr>
        <w:t>už monografiją užsienio kalba, išleistą tarptautiniu mastu pripažintoje leidykloje – 1500 eurų;</w:t>
      </w:r>
    </w:p>
    <w:p w14:paraId="3E429021" w14:textId="77777777" w:rsidR="008B11C3" w:rsidRPr="00AF7808" w:rsidRDefault="008B11C3" w:rsidP="004C46D1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808">
        <w:rPr>
          <w:rFonts w:ascii="Times New Roman" w:hAnsi="Times New Roman"/>
          <w:sz w:val="24"/>
          <w:szCs w:val="24"/>
        </w:rPr>
        <w:t>už monografiją lietuvių kalba – 1000 eurų;</w:t>
      </w:r>
    </w:p>
    <w:p w14:paraId="3E429022" w14:textId="77777777" w:rsidR="00F13DFC" w:rsidRPr="00AF7808" w:rsidRDefault="008B11C3" w:rsidP="004C46D1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808">
        <w:rPr>
          <w:rFonts w:ascii="Times New Roman" w:hAnsi="Times New Roman"/>
          <w:sz w:val="24"/>
          <w:szCs w:val="24"/>
        </w:rPr>
        <w:t>už mokslo straipsnį publikuotą</w:t>
      </w:r>
      <w:r w:rsidR="00F13DFC" w:rsidRPr="00AF78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808">
        <w:rPr>
          <w:rFonts w:ascii="Times New Roman" w:hAnsi="Times New Roman"/>
          <w:i/>
          <w:sz w:val="24"/>
          <w:szCs w:val="24"/>
        </w:rPr>
        <w:t>Clarivate</w:t>
      </w:r>
      <w:proofErr w:type="spellEnd"/>
      <w:r w:rsidRPr="00AF78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F7808">
        <w:rPr>
          <w:rFonts w:ascii="Times New Roman" w:hAnsi="Times New Roman"/>
          <w:i/>
          <w:sz w:val="24"/>
          <w:szCs w:val="24"/>
        </w:rPr>
        <w:t>Analytics</w:t>
      </w:r>
      <w:proofErr w:type="spellEnd"/>
      <w:r w:rsidRPr="00AF78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13DFC" w:rsidRPr="00AF7808">
        <w:rPr>
          <w:rFonts w:ascii="Times New Roman" w:hAnsi="Times New Roman"/>
          <w:i/>
          <w:sz w:val="24"/>
          <w:szCs w:val="24"/>
        </w:rPr>
        <w:t>Web</w:t>
      </w:r>
      <w:proofErr w:type="spellEnd"/>
      <w:r w:rsidR="00F13DFC" w:rsidRPr="00AF78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13DFC" w:rsidRPr="00AF7808">
        <w:rPr>
          <w:rFonts w:ascii="Times New Roman" w:hAnsi="Times New Roman"/>
          <w:i/>
          <w:sz w:val="24"/>
          <w:szCs w:val="24"/>
        </w:rPr>
        <w:t>of</w:t>
      </w:r>
      <w:proofErr w:type="spellEnd"/>
      <w:r w:rsidR="00F13DFC" w:rsidRPr="00AF78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13DFC" w:rsidRPr="00AF7808">
        <w:rPr>
          <w:rFonts w:ascii="Times New Roman" w:hAnsi="Times New Roman"/>
          <w:i/>
          <w:sz w:val="24"/>
          <w:szCs w:val="24"/>
        </w:rPr>
        <w:t>Science</w:t>
      </w:r>
      <w:r w:rsidR="00F13DFC" w:rsidRPr="00AF7808">
        <w:rPr>
          <w:rFonts w:ascii="Times New Roman" w:hAnsi="Times New Roman"/>
          <w:sz w:val="24"/>
          <w:szCs w:val="24"/>
          <w:vertAlign w:val="superscript"/>
        </w:rPr>
        <w:t>TM</w:t>
      </w:r>
      <w:proofErr w:type="spellEnd"/>
      <w:r w:rsidRPr="00AF7808">
        <w:rPr>
          <w:rFonts w:ascii="Times New Roman" w:hAnsi="Times New Roman"/>
          <w:sz w:val="24"/>
          <w:szCs w:val="24"/>
        </w:rPr>
        <w:t xml:space="preserve"> registruotame leidinyje, patenkančiame į konkrečios kategorijos pirmą,</w:t>
      </w:r>
      <w:r w:rsidR="00F13DFC" w:rsidRPr="00AF7808">
        <w:rPr>
          <w:rFonts w:ascii="Times New Roman" w:hAnsi="Times New Roman"/>
          <w:sz w:val="24"/>
          <w:szCs w:val="24"/>
        </w:rPr>
        <w:t xml:space="preserve"> antrą</w:t>
      </w:r>
      <w:r w:rsidRPr="00AF7808">
        <w:rPr>
          <w:rFonts w:ascii="Times New Roman" w:hAnsi="Times New Roman"/>
          <w:sz w:val="24"/>
          <w:szCs w:val="24"/>
        </w:rPr>
        <w:t xml:space="preserve"> arba trečią </w:t>
      </w:r>
      <w:proofErr w:type="spellStart"/>
      <w:r w:rsidRPr="00AF7808">
        <w:rPr>
          <w:rFonts w:ascii="Times New Roman" w:hAnsi="Times New Roman"/>
          <w:sz w:val="24"/>
          <w:szCs w:val="24"/>
        </w:rPr>
        <w:t>kvartiles</w:t>
      </w:r>
      <w:proofErr w:type="spellEnd"/>
      <w:r w:rsidRPr="00AF7808">
        <w:rPr>
          <w:rFonts w:ascii="Times New Roman" w:hAnsi="Times New Roman"/>
          <w:sz w:val="24"/>
          <w:szCs w:val="24"/>
        </w:rPr>
        <w:t xml:space="preserve"> – 1000 eurų</w:t>
      </w:r>
      <w:r w:rsidR="00F13DFC" w:rsidRPr="00AF7808">
        <w:rPr>
          <w:rFonts w:ascii="Times New Roman" w:hAnsi="Times New Roman"/>
          <w:sz w:val="24"/>
          <w:szCs w:val="24"/>
        </w:rPr>
        <w:t>;</w:t>
      </w:r>
    </w:p>
    <w:p w14:paraId="3E429023" w14:textId="77777777" w:rsidR="008B11C3" w:rsidRPr="00AF7808" w:rsidRDefault="008B11C3" w:rsidP="004C46D1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808">
        <w:rPr>
          <w:rFonts w:ascii="Times New Roman" w:hAnsi="Times New Roman"/>
          <w:sz w:val="24"/>
          <w:szCs w:val="24"/>
        </w:rPr>
        <w:t xml:space="preserve">už mokslo straipsnį </w:t>
      </w:r>
      <w:r w:rsidR="007B6BBF" w:rsidRPr="00AF7808">
        <w:rPr>
          <w:rFonts w:ascii="Times New Roman" w:hAnsi="Times New Roman"/>
          <w:sz w:val="24"/>
          <w:szCs w:val="24"/>
        </w:rPr>
        <w:t xml:space="preserve">publikuotą </w:t>
      </w:r>
      <w:proofErr w:type="spellStart"/>
      <w:r w:rsidRPr="00AF7808">
        <w:rPr>
          <w:rFonts w:ascii="Times New Roman" w:hAnsi="Times New Roman"/>
          <w:i/>
          <w:sz w:val="24"/>
          <w:szCs w:val="24"/>
        </w:rPr>
        <w:t>Clarivate</w:t>
      </w:r>
      <w:proofErr w:type="spellEnd"/>
      <w:r w:rsidRPr="00AF78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F7808">
        <w:rPr>
          <w:rFonts w:ascii="Times New Roman" w:hAnsi="Times New Roman"/>
          <w:i/>
          <w:sz w:val="24"/>
          <w:szCs w:val="24"/>
        </w:rPr>
        <w:t>Analytics</w:t>
      </w:r>
      <w:proofErr w:type="spellEnd"/>
      <w:r w:rsidRPr="00AF78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F7808">
        <w:rPr>
          <w:rFonts w:ascii="Times New Roman" w:hAnsi="Times New Roman"/>
          <w:i/>
          <w:sz w:val="24"/>
          <w:szCs w:val="24"/>
        </w:rPr>
        <w:t>Web</w:t>
      </w:r>
      <w:proofErr w:type="spellEnd"/>
      <w:r w:rsidRPr="00AF78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F7808">
        <w:rPr>
          <w:rFonts w:ascii="Times New Roman" w:hAnsi="Times New Roman"/>
          <w:i/>
          <w:sz w:val="24"/>
          <w:szCs w:val="24"/>
        </w:rPr>
        <w:t>of</w:t>
      </w:r>
      <w:proofErr w:type="spellEnd"/>
      <w:r w:rsidRPr="00AF780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F7808">
        <w:rPr>
          <w:rFonts w:ascii="Times New Roman" w:hAnsi="Times New Roman"/>
          <w:i/>
          <w:sz w:val="24"/>
          <w:szCs w:val="24"/>
        </w:rPr>
        <w:t>Science</w:t>
      </w:r>
      <w:r w:rsidRPr="00AF7808">
        <w:rPr>
          <w:rFonts w:ascii="Times New Roman" w:hAnsi="Times New Roman"/>
          <w:sz w:val="24"/>
          <w:szCs w:val="24"/>
          <w:vertAlign w:val="superscript"/>
        </w:rPr>
        <w:t>TM</w:t>
      </w:r>
      <w:proofErr w:type="spellEnd"/>
      <w:r w:rsidRPr="00AF7808">
        <w:rPr>
          <w:rFonts w:ascii="Times New Roman" w:hAnsi="Times New Roman"/>
          <w:sz w:val="24"/>
          <w:szCs w:val="24"/>
        </w:rPr>
        <w:t xml:space="preserve"> registruotame leidinyje, patenkančiame į konkrečios kategorijos </w:t>
      </w:r>
      <w:r w:rsidR="007B6BBF" w:rsidRPr="00AF7808">
        <w:rPr>
          <w:rFonts w:ascii="Times New Roman" w:hAnsi="Times New Roman"/>
          <w:sz w:val="24"/>
          <w:szCs w:val="24"/>
        </w:rPr>
        <w:t xml:space="preserve">ketvirtą </w:t>
      </w:r>
      <w:proofErr w:type="spellStart"/>
      <w:r w:rsidR="007B6BBF" w:rsidRPr="00AF7808">
        <w:rPr>
          <w:rFonts w:ascii="Times New Roman" w:hAnsi="Times New Roman"/>
          <w:sz w:val="24"/>
          <w:szCs w:val="24"/>
        </w:rPr>
        <w:t>kvartilę</w:t>
      </w:r>
      <w:proofErr w:type="spellEnd"/>
      <w:r w:rsidR="007B6BBF" w:rsidRPr="00AF7808">
        <w:rPr>
          <w:rFonts w:ascii="Times New Roman" w:hAnsi="Times New Roman"/>
          <w:sz w:val="24"/>
          <w:szCs w:val="24"/>
        </w:rPr>
        <w:t xml:space="preserve"> </w:t>
      </w:r>
      <w:r w:rsidRPr="00AF7808">
        <w:rPr>
          <w:rFonts w:ascii="Times New Roman" w:hAnsi="Times New Roman"/>
          <w:sz w:val="24"/>
          <w:szCs w:val="24"/>
        </w:rPr>
        <w:t xml:space="preserve">– </w:t>
      </w:r>
      <w:r w:rsidR="007B6BBF" w:rsidRPr="00AF7808">
        <w:rPr>
          <w:rFonts w:ascii="Times New Roman" w:hAnsi="Times New Roman"/>
          <w:sz w:val="24"/>
          <w:szCs w:val="24"/>
        </w:rPr>
        <w:t>500</w:t>
      </w:r>
      <w:r w:rsidRPr="00AF7808">
        <w:rPr>
          <w:rFonts w:ascii="Times New Roman" w:hAnsi="Times New Roman"/>
          <w:sz w:val="24"/>
          <w:szCs w:val="24"/>
        </w:rPr>
        <w:t xml:space="preserve"> eurų;</w:t>
      </w:r>
    </w:p>
    <w:p w14:paraId="3E429024" w14:textId="77777777" w:rsidR="008B11C3" w:rsidRPr="00AF7808" w:rsidRDefault="007B6BBF" w:rsidP="004C46D1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808">
        <w:rPr>
          <w:rFonts w:ascii="Times New Roman" w:hAnsi="Times New Roman"/>
          <w:sz w:val="24"/>
          <w:szCs w:val="24"/>
        </w:rPr>
        <w:t>už mokslo straipsnį (knygos dalį), publikuotą knygoje, išleistoje tarptautiniu mastu pripažintoje leidykloje – 500 eurų;</w:t>
      </w:r>
    </w:p>
    <w:p w14:paraId="3E429025" w14:textId="77777777" w:rsidR="00A93E79" w:rsidRPr="00AF7808" w:rsidRDefault="00E96D7F" w:rsidP="003467B7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808">
        <w:rPr>
          <w:rFonts w:ascii="Times New Roman" w:hAnsi="Times New Roman"/>
          <w:sz w:val="24"/>
          <w:szCs w:val="24"/>
        </w:rPr>
        <w:t>už pateiktą ir ekspertų teigiamai (virš slenkstinio balo) įvertintą tarptautinio mokslo projekto paraišką</w:t>
      </w:r>
      <w:r w:rsidR="007B6BBF" w:rsidRPr="00AF7808">
        <w:rPr>
          <w:rFonts w:ascii="Times New Roman" w:hAnsi="Times New Roman"/>
          <w:sz w:val="24"/>
          <w:szCs w:val="24"/>
        </w:rPr>
        <w:t xml:space="preserve"> – 500 eurų.</w:t>
      </w:r>
      <w:r w:rsidR="003467B7" w:rsidRPr="00AF7808">
        <w:rPr>
          <w:rFonts w:ascii="Times New Roman" w:hAnsi="Times New Roman"/>
          <w:sz w:val="24"/>
          <w:szCs w:val="24"/>
        </w:rPr>
        <w:t xml:space="preserve"> Tarptautiniu mokslo projektu laikomas užsienio ar tarptautinių fondų lėšomis finansuojamas projektas (ES struktūrinių fondų lėšomis finansuojami projektai nėra laikomi tarptautiniais)</w:t>
      </w:r>
      <w:r w:rsidR="00A93E79" w:rsidRPr="00AF7808">
        <w:rPr>
          <w:rFonts w:ascii="Times New Roman" w:hAnsi="Times New Roman"/>
          <w:sz w:val="24"/>
          <w:szCs w:val="24"/>
        </w:rPr>
        <w:t>;</w:t>
      </w:r>
    </w:p>
    <w:p w14:paraId="3E429026" w14:textId="77777777" w:rsidR="003467B7" w:rsidRPr="00AF7808" w:rsidRDefault="00A93E79" w:rsidP="003467B7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808">
        <w:rPr>
          <w:rFonts w:ascii="Times New Roman" w:hAnsi="Times New Roman"/>
          <w:sz w:val="24"/>
          <w:szCs w:val="24"/>
        </w:rPr>
        <w:t xml:space="preserve">už aktyvų dalyvavimą mokslo projektuose – pagal Aprašo </w:t>
      </w:r>
      <w:r w:rsidR="001C33C7" w:rsidRPr="00AF7808">
        <w:rPr>
          <w:rFonts w:ascii="Times New Roman" w:hAnsi="Times New Roman"/>
          <w:sz w:val="24"/>
          <w:szCs w:val="24"/>
        </w:rPr>
        <w:t xml:space="preserve">9 </w:t>
      </w:r>
      <w:r w:rsidRPr="00AF7808">
        <w:rPr>
          <w:rFonts w:ascii="Times New Roman" w:hAnsi="Times New Roman"/>
          <w:sz w:val="24"/>
          <w:szCs w:val="24"/>
        </w:rPr>
        <w:t>punkte nurodytą formulę</w:t>
      </w:r>
      <w:r w:rsidR="003467B7" w:rsidRPr="00AF7808">
        <w:rPr>
          <w:rFonts w:ascii="Times New Roman" w:hAnsi="Times New Roman"/>
          <w:sz w:val="24"/>
          <w:szCs w:val="24"/>
        </w:rPr>
        <w:t xml:space="preserve">. </w:t>
      </w:r>
    </w:p>
    <w:p w14:paraId="3E429027" w14:textId="385603FC" w:rsidR="007B6BBF" w:rsidRPr="00AF7808" w:rsidRDefault="007B6BBF" w:rsidP="004C46D1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808">
        <w:rPr>
          <w:rFonts w:ascii="Times New Roman" w:hAnsi="Times New Roman"/>
          <w:sz w:val="24"/>
          <w:szCs w:val="24"/>
        </w:rPr>
        <w:t xml:space="preserve">Premijos skiriamos tik už TSPMI </w:t>
      </w:r>
      <w:proofErr w:type="spellStart"/>
      <w:r w:rsidRPr="00AF7808">
        <w:rPr>
          <w:rFonts w:ascii="Times New Roman" w:hAnsi="Times New Roman"/>
          <w:sz w:val="24"/>
          <w:szCs w:val="24"/>
        </w:rPr>
        <w:t>prieskyrą</w:t>
      </w:r>
      <w:proofErr w:type="spellEnd"/>
      <w:r w:rsidRPr="00AF7808">
        <w:rPr>
          <w:rFonts w:ascii="Times New Roman" w:hAnsi="Times New Roman"/>
          <w:sz w:val="24"/>
          <w:szCs w:val="24"/>
        </w:rPr>
        <w:t xml:space="preserve"> turinčius aukšto lygio mokslo pasiekimus. Aprašo 4.1.–4.5. papunkčiuose nurodytos publikacijos privalo būti įregistruotos Lietuvos akademinės elektroninės bibliotekos informacinėje</w:t>
      </w:r>
      <w:r w:rsidR="00E071FE">
        <w:rPr>
          <w:rFonts w:ascii="Times New Roman" w:hAnsi="Times New Roman"/>
          <w:sz w:val="24"/>
          <w:szCs w:val="24"/>
        </w:rPr>
        <w:t xml:space="preserve"> sistemoje (</w:t>
      </w:r>
      <w:proofErr w:type="spellStart"/>
      <w:r w:rsidR="00E071FE">
        <w:rPr>
          <w:rFonts w:ascii="Times New Roman" w:hAnsi="Times New Roman"/>
          <w:sz w:val="24"/>
          <w:szCs w:val="24"/>
        </w:rPr>
        <w:t>eLABa</w:t>
      </w:r>
      <w:proofErr w:type="spellEnd"/>
      <w:r w:rsidR="00E071FE">
        <w:rPr>
          <w:rFonts w:ascii="Times New Roman" w:hAnsi="Times New Roman"/>
          <w:sz w:val="24"/>
          <w:szCs w:val="24"/>
        </w:rPr>
        <w:t>) ir turėti TS</w:t>
      </w:r>
      <w:r w:rsidRPr="00AF7808">
        <w:rPr>
          <w:rFonts w:ascii="Times New Roman" w:hAnsi="Times New Roman"/>
          <w:sz w:val="24"/>
          <w:szCs w:val="24"/>
        </w:rPr>
        <w:t>P</w:t>
      </w:r>
      <w:r w:rsidR="00E071FE">
        <w:rPr>
          <w:rFonts w:ascii="Times New Roman" w:hAnsi="Times New Roman"/>
          <w:sz w:val="24"/>
          <w:szCs w:val="24"/>
        </w:rPr>
        <w:t>M</w:t>
      </w:r>
      <w:r w:rsidRPr="00AF7808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AF7808">
        <w:rPr>
          <w:rFonts w:ascii="Times New Roman" w:hAnsi="Times New Roman"/>
          <w:sz w:val="24"/>
          <w:szCs w:val="24"/>
        </w:rPr>
        <w:t>prieskyrą</w:t>
      </w:r>
      <w:proofErr w:type="spellEnd"/>
      <w:r w:rsidRPr="00AF7808">
        <w:rPr>
          <w:rFonts w:ascii="Times New Roman" w:hAnsi="Times New Roman"/>
          <w:sz w:val="24"/>
          <w:szCs w:val="24"/>
        </w:rPr>
        <w:t xml:space="preserve"> arba būti įregistruotos </w:t>
      </w:r>
      <w:proofErr w:type="spellStart"/>
      <w:r w:rsidRPr="00AF7808">
        <w:rPr>
          <w:rFonts w:ascii="Times New Roman" w:hAnsi="Times New Roman"/>
          <w:sz w:val="24"/>
          <w:szCs w:val="24"/>
        </w:rPr>
        <w:t>eLABa</w:t>
      </w:r>
      <w:proofErr w:type="spellEnd"/>
      <w:r w:rsidRPr="00AF7808">
        <w:rPr>
          <w:rFonts w:ascii="Times New Roman" w:hAnsi="Times New Roman"/>
          <w:sz w:val="24"/>
          <w:szCs w:val="24"/>
        </w:rPr>
        <w:t xml:space="preserve"> kaip </w:t>
      </w:r>
      <w:r w:rsidR="00E96D7F" w:rsidRPr="00AF7808">
        <w:rPr>
          <w:rFonts w:ascii="Times New Roman" w:hAnsi="Times New Roman"/>
          <w:sz w:val="24"/>
          <w:szCs w:val="24"/>
        </w:rPr>
        <w:t>TSPMI</w:t>
      </w:r>
      <w:r w:rsidRPr="00AF7808">
        <w:rPr>
          <w:rFonts w:ascii="Times New Roman" w:hAnsi="Times New Roman"/>
          <w:sz w:val="24"/>
          <w:szCs w:val="24"/>
        </w:rPr>
        <w:t xml:space="preserve"> publikacija.</w:t>
      </w:r>
      <w:r w:rsidR="00724F9A" w:rsidRPr="00AF7808">
        <w:rPr>
          <w:rFonts w:ascii="Times New Roman" w:hAnsi="Times New Roman"/>
          <w:sz w:val="24"/>
          <w:szCs w:val="24"/>
        </w:rPr>
        <w:t xml:space="preserve"> Aprašo 4.6. papunktyje nurodytą mokslinio projekto paraišką </w:t>
      </w:r>
      <w:r w:rsidR="004C46D1" w:rsidRPr="00AF7808">
        <w:rPr>
          <w:rFonts w:ascii="Times New Roman" w:hAnsi="Times New Roman"/>
          <w:sz w:val="24"/>
          <w:szCs w:val="24"/>
        </w:rPr>
        <w:t>parengęs</w:t>
      </w:r>
      <w:r w:rsidR="00724F9A" w:rsidRPr="00AF7808">
        <w:rPr>
          <w:rFonts w:ascii="Times New Roman" w:hAnsi="Times New Roman"/>
          <w:sz w:val="24"/>
          <w:szCs w:val="24"/>
        </w:rPr>
        <w:t xml:space="preserve"> Tyrėjas (-ai) joje turi nurodyti TSPMI </w:t>
      </w:r>
      <w:proofErr w:type="spellStart"/>
      <w:r w:rsidR="00724F9A" w:rsidRPr="00AF7808">
        <w:rPr>
          <w:rFonts w:ascii="Times New Roman" w:hAnsi="Times New Roman"/>
          <w:sz w:val="24"/>
          <w:szCs w:val="24"/>
        </w:rPr>
        <w:t>prieskyrą</w:t>
      </w:r>
      <w:proofErr w:type="spellEnd"/>
      <w:r w:rsidR="00724F9A" w:rsidRPr="00AF7808">
        <w:rPr>
          <w:rFonts w:ascii="Times New Roman" w:hAnsi="Times New Roman"/>
          <w:sz w:val="24"/>
          <w:szCs w:val="24"/>
        </w:rPr>
        <w:t>.</w:t>
      </w:r>
    </w:p>
    <w:p w14:paraId="3E429028" w14:textId="77777777" w:rsidR="007B6BBF" w:rsidRPr="00AF7808" w:rsidRDefault="00724F9A" w:rsidP="004C46D1">
      <w:pPr>
        <w:numPr>
          <w:ilvl w:val="0"/>
          <w:numId w:val="1"/>
        </w:numPr>
        <w:tabs>
          <w:tab w:val="left" w:pos="900"/>
        </w:tabs>
        <w:ind w:left="0" w:firstLine="709"/>
        <w:contextualSpacing/>
        <w:jc w:val="both"/>
        <w:rPr>
          <w:lang w:val="lt-LT"/>
        </w:rPr>
      </w:pPr>
      <w:r w:rsidRPr="00AF7808">
        <w:rPr>
          <w:lang w:val="lt-LT"/>
        </w:rPr>
        <w:t>Premijos u</w:t>
      </w:r>
      <w:r w:rsidR="007B6BBF" w:rsidRPr="00AF7808">
        <w:rPr>
          <w:lang w:val="lt-LT"/>
        </w:rPr>
        <w:t>ž Aprašo 4.1.–4.5. papunkčiuose</w:t>
      </w:r>
      <w:r w:rsidRPr="00AF7808">
        <w:rPr>
          <w:lang w:val="lt-LT"/>
        </w:rPr>
        <w:t xml:space="preserve"> nurodytas publikacijas</w:t>
      </w:r>
      <w:r w:rsidR="007B6BBF" w:rsidRPr="00AF7808">
        <w:rPr>
          <w:lang w:val="lt-LT"/>
        </w:rPr>
        <w:t xml:space="preserve"> skiriamos tik už TSPMI Tyrėjų ind</w:t>
      </w:r>
      <w:r w:rsidR="00E96D7F" w:rsidRPr="00AF7808">
        <w:rPr>
          <w:lang w:val="lt-LT"/>
        </w:rPr>
        <w:t>ė</w:t>
      </w:r>
      <w:r w:rsidR="007B6BBF" w:rsidRPr="00AF7808">
        <w:rPr>
          <w:lang w:val="lt-LT"/>
        </w:rPr>
        <w:t>lį atitinkanč</w:t>
      </w:r>
      <w:r w:rsidRPr="00AF7808">
        <w:rPr>
          <w:lang w:val="lt-LT"/>
        </w:rPr>
        <w:t>ią dalį. Jei visi autoriai yra TSMPI</w:t>
      </w:r>
      <w:r w:rsidR="007B6BBF" w:rsidRPr="00AF7808">
        <w:rPr>
          <w:lang w:val="lt-LT"/>
        </w:rPr>
        <w:t xml:space="preserve"> Tyrėjai, tai už publikaciją skiriama premija vienodai padalijama visiems bendraautoriams. Jei publikacijos bendraautoris yra ne </w:t>
      </w:r>
      <w:r w:rsidRPr="00AF7808">
        <w:rPr>
          <w:lang w:val="lt-LT"/>
        </w:rPr>
        <w:t>TSPMI</w:t>
      </w:r>
      <w:r w:rsidR="007B6BBF" w:rsidRPr="00AF7808">
        <w:rPr>
          <w:lang w:val="lt-LT"/>
        </w:rPr>
        <w:t xml:space="preserve"> Tyrėjas, tai jo ind</w:t>
      </w:r>
      <w:r w:rsidR="00E96D7F" w:rsidRPr="00AF7808">
        <w:rPr>
          <w:lang w:val="lt-LT"/>
        </w:rPr>
        <w:t>ė</w:t>
      </w:r>
      <w:r w:rsidR="007B6BBF" w:rsidRPr="00AF7808">
        <w:rPr>
          <w:lang w:val="lt-LT"/>
        </w:rPr>
        <w:t xml:space="preserve">lį į publikaciją atitinkanti premijos dalis nėra išmokama, o </w:t>
      </w:r>
      <w:r w:rsidR="007B6BBF" w:rsidRPr="00AF7808">
        <w:rPr>
          <w:lang w:val="lt-LT"/>
        </w:rPr>
        <w:lastRenderedPageBreak/>
        <w:t xml:space="preserve">bendraautoriams Fakulteto Tyrėjams skiriamos premijos dalys yra apskaičiuojamos proporcingai tų Tyrėjų autoriniam indėliui. Tyrėjui, publikacijoje šalia </w:t>
      </w:r>
      <w:r w:rsidRPr="00AF7808">
        <w:rPr>
          <w:lang w:val="lt-LT"/>
        </w:rPr>
        <w:t xml:space="preserve">TSPMI </w:t>
      </w:r>
      <w:proofErr w:type="spellStart"/>
      <w:r w:rsidRPr="00AF7808">
        <w:rPr>
          <w:lang w:val="lt-LT"/>
        </w:rPr>
        <w:t>prieskyros</w:t>
      </w:r>
      <w:proofErr w:type="spellEnd"/>
      <w:r w:rsidRPr="00AF7808">
        <w:rPr>
          <w:lang w:val="lt-LT"/>
        </w:rPr>
        <w:t xml:space="preserve"> nurodžiusiam ir kitos institucijos </w:t>
      </w:r>
      <w:proofErr w:type="spellStart"/>
      <w:r w:rsidRPr="00AF7808">
        <w:rPr>
          <w:lang w:val="lt-LT"/>
        </w:rPr>
        <w:t>prieskyrą</w:t>
      </w:r>
      <w:proofErr w:type="spellEnd"/>
      <w:r w:rsidRPr="00AF7808">
        <w:rPr>
          <w:lang w:val="lt-LT"/>
        </w:rPr>
        <w:t xml:space="preserve"> (-</w:t>
      </w:r>
      <w:proofErr w:type="spellStart"/>
      <w:r w:rsidRPr="00AF7808">
        <w:rPr>
          <w:lang w:val="lt-LT"/>
        </w:rPr>
        <w:t>as</w:t>
      </w:r>
      <w:proofErr w:type="spellEnd"/>
      <w:r w:rsidRPr="00AF7808">
        <w:rPr>
          <w:lang w:val="lt-LT"/>
        </w:rPr>
        <w:t>)</w:t>
      </w:r>
      <w:r w:rsidR="007B6BBF" w:rsidRPr="00AF7808">
        <w:rPr>
          <w:lang w:val="lt-LT"/>
        </w:rPr>
        <w:t>, skiriamos premijos, už jo ind</w:t>
      </w:r>
      <w:r w:rsidR="00E96D7F" w:rsidRPr="00AF7808">
        <w:rPr>
          <w:lang w:val="lt-LT"/>
        </w:rPr>
        <w:t>ė</w:t>
      </w:r>
      <w:r w:rsidR="007B6BBF" w:rsidRPr="00AF7808">
        <w:rPr>
          <w:lang w:val="lt-LT"/>
        </w:rPr>
        <w:t xml:space="preserve">lį atitinkančią dalį, suma </w:t>
      </w:r>
      <w:r w:rsidRPr="00AF7808">
        <w:rPr>
          <w:lang w:val="lt-LT"/>
        </w:rPr>
        <w:t>pa</w:t>
      </w:r>
      <w:r w:rsidR="007B6BBF" w:rsidRPr="00AF7808">
        <w:rPr>
          <w:lang w:val="lt-LT"/>
        </w:rPr>
        <w:t xml:space="preserve">dalijama iš nurodytų </w:t>
      </w:r>
      <w:proofErr w:type="spellStart"/>
      <w:r w:rsidR="007B6BBF" w:rsidRPr="00AF7808">
        <w:rPr>
          <w:lang w:val="lt-LT"/>
        </w:rPr>
        <w:t>prieskyrų</w:t>
      </w:r>
      <w:proofErr w:type="spellEnd"/>
      <w:r w:rsidR="007B6BBF" w:rsidRPr="00AF7808">
        <w:rPr>
          <w:lang w:val="lt-LT"/>
        </w:rPr>
        <w:t xml:space="preserve"> skaičiaus.</w:t>
      </w:r>
    </w:p>
    <w:p w14:paraId="3E429029" w14:textId="77777777" w:rsidR="0096637B" w:rsidRPr="00AF7808" w:rsidRDefault="0096637B" w:rsidP="004C46D1">
      <w:pPr>
        <w:numPr>
          <w:ilvl w:val="0"/>
          <w:numId w:val="1"/>
        </w:numPr>
        <w:tabs>
          <w:tab w:val="left" w:pos="900"/>
        </w:tabs>
        <w:ind w:left="0" w:firstLine="709"/>
        <w:contextualSpacing/>
        <w:jc w:val="both"/>
        <w:rPr>
          <w:lang w:val="lt-LT"/>
        </w:rPr>
      </w:pPr>
      <w:proofErr w:type="spellStart"/>
      <w:r w:rsidRPr="00AF7808">
        <w:t>Tyrėjui</w:t>
      </w:r>
      <w:proofErr w:type="spellEnd"/>
      <w:r w:rsidRPr="00AF7808">
        <w:t xml:space="preserve"> </w:t>
      </w:r>
      <w:proofErr w:type="spellStart"/>
      <w:r w:rsidRPr="00AF7808">
        <w:t>premija</w:t>
      </w:r>
      <w:proofErr w:type="spellEnd"/>
      <w:r w:rsidRPr="00AF7808">
        <w:t xml:space="preserve"> </w:t>
      </w:r>
      <w:proofErr w:type="spellStart"/>
      <w:r w:rsidRPr="00AF7808">
        <w:t>už</w:t>
      </w:r>
      <w:proofErr w:type="spellEnd"/>
      <w:r w:rsidRPr="00AF7808">
        <w:t xml:space="preserve"> 4.1-4.5 </w:t>
      </w:r>
      <w:r w:rsidRPr="00AF7808">
        <w:rPr>
          <w:lang w:val="lt-LT"/>
        </w:rPr>
        <w:t xml:space="preserve">punktuose nurodytus pasiekimus </w:t>
      </w:r>
      <w:proofErr w:type="spellStart"/>
      <w:r w:rsidRPr="00AF7808">
        <w:t>skiriama</w:t>
      </w:r>
      <w:proofErr w:type="spellEnd"/>
      <w:r w:rsidRPr="00AF7808">
        <w:t xml:space="preserve"> </w:t>
      </w:r>
      <w:proofErr w:type="spellStart"/>
      <w:r w:rsidRPr="00AF7808">
        <w:t>Universiteto</w:t>
      </w:r>
      <w:proofErr w:type="spellEnd"/>
      <w:r w:rsidRPr="00AF7808">
        <w:t xml:space="preserve"> </w:t>
      </w:r>
      <w:proofErr w:type="spellStart"/>
      <w:r w:rsidRPr="00AF7808">
        <w:t>rektoriaus</w:t>
      </w:r>
      <w:proofErr w:type="spellEnd"/>
      <w:r w:rsidRPr="00AF7808">
        <w:t xml:space="preserve"> </w:t>
      </w:r>
      <w:proofErr w:type="spellStart"/>
      <w:r w:rsidRPr="00AF7808">
        <w:t>įsakymu</w:t>
      </w:r>
      <w:proofErr w:type="spellEnd"/>
      <w:r w:rsidRPr="00AF7808">
        <w:t xml:space="preserve"> </w:t>
      </w:r>
      <w:proofErr w:type="spellStart"/>
      <w:r w:rsidRPr="00AF7808">
        <w:t>ir</w:t>
      </w:r>
      <w:proofErr w:type="spellEnd"/>
      <w:r w:rsidRPr="00AF7808">
        <w:t xml:space="preserve"> </w:t>
      </w:r>
      <w:proofErr w:type="spellStart"/>
      <w:r w:rsidRPr="00AF7808">
        <w:t>išmokama</w:t>
      </w:r>
      <w:proofErr w:type="spellEnd"/>
      <w:r w:rsidRPr="00AF7808">
        <w:t xml:space="preserve"> per </w:t>
      </w:r>
      <w:proofErr w:type="spellStart"/>
      <w:r w:rsidRPr="00AF7808">
        <w:t>tris</w:t>
      </w:r>
      <w:proofErr w:type="spellEnd"/>
      <w:r w:rsidRPr="00AF7808">
        <w:t xml:space="preserve"> </w:t>
      </w:r>
      <w:proofErr w:type="spellStart"/>
      <w:r w:rsidRPr="00AF7808">
        <w:t>mėnesius</w:t>
      </w:r>
      <w:proofErr w:type="spellEnd"/>
      <w:r w:rsidRPr="00AF7808">
        <w:t xml:space="preserve"> </w:t>
      </w:r>
      <w:proofErr w:type="spellStart"/>
      <w:r w:rsidRPr="00AF7808">
        <w:t>nuo</w:t>
      </w:r>
      <w:proofErr w:type="spellEnd"/>
      <w:r w:rsidRPr="00AF7808">
        <w:t xml:space="preserve"> </w:t>
      </w:r>
      <w:proofErr w:type="spellStart"/>
      <w:r w:rsidRPr="00AF7808">
        <w:t>publikacijos</w:t>
      </w:r>
      <w:proofErr w:type="spellEnd"/>
      <w:r w:rsidRPr="00AF7808">
        <w:t xml:space="preserve"> </w:t>
      </w:r>
      <w:proofErr w:type="spellStart"/>
      <w:r w:rsidRPr="00AF7808">
        <w:t>registravimo</w:t>
      </w:r>
      <w:proofErr w:type="spellEnd"/>
      <w:r w:rsidRPr="00AF7808">
        <w:t xml:space="preserve"> </w:t>
      </w:r>
      <w:proofErr w:type="spellStart"/>
      <w:r w:rsidRPr="00AF7808">
        <w:t>eLABa</w:t>
      </w:r>
      <w:proofErr w:type="spellEnd"/>
      <w:r w:rsidRPr="00AF7808">
        <w:t xml:space="preserve">. </w:t>
      </w:r>
      <w:proofErr w:type="spellStart"/>
      <w:r w:rsidRPr="00AF7808">
        <w:t>Tyrėjui</w:t>
      </w:r>
      <w:proofErr w:type="spellEnd"/>
      <w:r w:rsidRPr="00AF7808">
        <w:t xml:space="preserve"> </w:t>
      </w:r>
      <w:proofErr w:type="spellStart"/>
      <w:r w:rsidRPr="00AF7808">
        <w:t>premija</w:t>
      </w:r>
      <w:proofErr w:type="spellEnd"/>
      <w:r w:rsidRPr="00AF7808">
        <w:t xml:space="preserve"> </w:t>
      </w:r>
      <w:proofErr w:type="spellStart"/>
      <w:r w:rsidRPr="00AF7808">
        <w:t>gali</w:t>
      </w:r>
      <w:proofErr w:type="spellEnd"/>
      <w:r w:rsidRPr="00AF7808">
        <w:t xml:space="preserve"> </w:t>
      </w:r>
      <w:proofErr w:type="spellStart"/>
      <w:r w:rsidRPr="00AF7808">
        <w:t>būti</w:t>
      </w:r>
      <w:proofErr w:type="spellEnd"/>
      <w:r w:rsidRPr="00AF7808">
        <w:t xml:space="preserve"> </w:t>
      </w:r>
      <w:proofErr w:type="spellStart"/>
      <w:r w:rsidRPr="00AF7808">
        <w:t>skiriama</w:t>
      </w:r>
      <w:proofErr w:type="spellEnd"/>
      <w:r w:rsidRPr="00AF7808">
        <w:t xml:space="preserve"> ne </w:t>
      </w:r>
      <w:proofErr w:type="spellStart"/>
      <w:r w:rsidRPr="00AF7808">
        <w:t>dažniau</w:t>
      </w:r>
      <w:proofErr w:type="spellEnd"/>
      <w:r w:rsidRPr="00AF7808">
        <w:t xml:space="preserve"> </w:t>
      </w:r>
      <w:proofErr w:type="spellStart"/>
      <w:r w:rsidRPr="00AF7808">
        <w:t>kaip</w:t>
      </w:r>
      <w:proofErr w:type="spellEnd"/>
      <w:r w:rsidRPr="00AF7808">
        <w:t xml:space="preserve"> </w:t>
      </w:r>
      <w:proofErr w:type="spellStart"/>
      <w:r w:rsidRPr="00AF7808">
        <w:t>kartą</w:t>
      </w:r>
      <w:proofErr w:type="spellEnd"/>
      <w:r w:rsidRPr="00AF7808">
        <w:t xml:space="preserve"> per </w:t>
      </w:r>
      <w:proofErr w:type="spellStart"/>
      <w:r w:rsidRPr="00AF7808">
        <w:t>metų</w:t>
      </w:r>
      <w:proofErr w:type="spellEnd"/>
      <w:r w:rsidRPr="00AF7808">
        <w:t xml:space="preserve"> </w:t>
      </w:r>
      <w:proofErr w:type="spellStart"/>
      <w:r w:rsidRPr="00AF7808">
        <w:t>ketvirtį</w:t>
      </w:r>
      <w:proofErr w:type="spellEnd"/>
      <w:r w:rsidRPr="00AF7808">
        <w:t>.</w:t>
      </w:r>
    </w:p>
    <w:p w14:paraId="3E42902A" w14:textId="77777777" w:rsidR="007B6BBF" w:rsidRPr="00AF7808" w:rsidRDefault="00724F9A" w:rsidP="004C46D1">
      <w:pPr>
        <w:numPr>
          <w:ilvl w:val="0"/>
          <w:numId w:val="1"/>
        </w:numPr>
        <w:tabs>
          <w:tab w:val="left" w:pos="900"/>
        </w:tabs>
        <w:ind w:left="0" w:firstLine="709"/>
        <w:contextualSpacing/>
        <w:jc w:val="both"/>
        <w:rPr>
          <w:lang w:val="lt-LT"/>
        </w:rPr>
      </w:pPr>
      <w:r w:rsidRPr="00AF7808">
        <w:rPr>
          <w:lang w:val="lt-LT"/>
        </w:rPr>
        <w:t>Premija u</w:t>
      </w:r>
      <w:r w:rsidR="007B6BBF" w:rsidRPr="00AF7808">
        <w:rPr>
          <w:lang w:val="lt-LT"/>
        </w:rPr>
        <w:t>ž Aprašo</w:t>
      </w:r>
      <w:r w:rsidRPr="00AF7808">
        <w:rPr>
          <w:lang w:val="lt-LT"/>
        </w:rPr>
        <w:t xml:space="preserve"> 4.6. papunktyje nurodytą mokslinio projekto paraišką skiriama</w:t>
      </w:r>
      <w:r w:rsidR="007B6BBF" w:rsidRPr="00AF7808">
        <w:rPr>
          <w:lang w:val="lt-LT"/>
        </w:rPr>
        <w:t xml:space="preserve"> paraiškos rengimui vadovavusiam Tyrėjui ir, jo siūlymu, gali būti paskirstyta kitiems paraišką rengusiems Tyrėjams.</w:t>
      </w:r>
      <w:r w:rsidR="00AC6C66" w:rsidRPr="00AF7808">
        <w:rPr>
          <w:lang w:val="lt-LT"/>
        </w:rPr>
        <w:t xml:space="preserve"> Premija išmokama </w:t>
      </w:r>
      <w:r w:rsidR="003467B7" w:rsidRPr="00AF7808">
        <w:rPr>
          <w:lang w:val="lt-LT"/>
        </w:rPr>
        <w:t>per tris mėnesius nuo mokslinio projekto paraiškos vertinimo rezultatų paskelbimo</w:t>
      </w:r>
      <w:r w:rsidR="00AC6C66" w:rsidRPr="00AF7808">
        <w:rPr>
          <w:lang w:val="lt-LT"/>
        </w:rPr>
        <w:t>.</w:t>
      </w:r>
    </w:p>
    <w:p w14:paraId="3E42902B" w14:textId="77777777" w:rsidR="00A93E79" w:rsidRPr="00AF7808" w:rsidRDefault="00A93E79" w:rsidP="00A93E79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808">
        <w:rPr>
          <w:rFonts w:ascii="Times New Roman" w:hAnsi="Times New Roman"/>
          <w:sz w:val="24"/>
          <w:szCs w:val="24"/>
        </w:rPr>
        <w:t>Premija už Aprašo 4.7 punkte nurodytus rezultatus mokama Tyrėjams, kurie įsidarbina mokslo projektuose</w:t>
      </w:r>
      <w:r w:rsidR="001C33C7" w:rsidRPr="00AF7808">
        <w:rPr>
          <w:rFonts w:ascii="Times New Roman" w:hAnsi="Times New Roman"/>
          <w:sz w:val="24"/>
          <w:szCs w:val="24"/>
        </w:rPr>
        <w:t xml:space="preserve">, įgyvendinamuose TSPMI, </w:t>
      </w:r>
      <w:r w:rsidRPr="00AF7808">
        <w:rPr>
          <w:rFonts w:ascii="Times New Roman" w:hAnsi="Times New Roman"/>
          <w:sz w:val="24"/>
          <w:szCs w:val="24"/>
        </w:rPr>
        <w:t>atsisakydami pagrindinio darbo etato dalies, nemažindami pedagoginio darbo krūvio. Premijos dydis apskaičiuojamas pagal formulę:</w:t>
      </w:r>
    </w:p>
    <w:p w14:paraId="3E42902C" w14:textId="77777777" w:rsidR="00A93E79" w:rsidRPr="00AF7808" w:rsidRDefault="00A93E79" w:rsidP="00A93E79">
      <w:pPr>
        <w:ind w:left="709"/>
        <w:jc w:val="both"/>
        <w:rPr>
          <w:rFonts w:eastAsia="Times New Roman"/>
          <w:i/>
          <w:strike/>
          <w:lang w:eastAsia="en-US"/>
        </w:rPr>
      </w:pPr>
      <m:oMathPara>
        <m:oMath>
          <m:r>
            <w:rPr>
              <w:rFonts w:ascii="Cambria Math" w:hAnsi="Cambria Math"/>
            </w:rPr>
            <m:t xml:space="preserve">Premijos dydis=k x m x </m:t>
          </m:r>
          <m:f>
            <m:fPr>
              <m:ctrlPr>
                <w:rPr>
                  <w:rFonts w:ascii="Cambria Math" w:eastAsia="Times New Roman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DU x 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∑E</m:t>
              </m:r>
            </m:den>
          </m:f>
          <m:r>
            <w:rPr>
              <w:rFonts w:ascii="Cambria Math" w:hAnsi="Cambria Math"/>
              <w:strike/>
            </w:rPr>
            <m:t xml:space="preserve"> </m:t>
          </m:r>
        </m:oMath>
      </m:oMathPara>
    </w:p>
    <w:p w14:paraId="3E42902D" w14:textId="77777777" w:rsidR="00A93E79" w:rsidRPr="00AF7808" w:rsidRDefault="00A93E79" w:rsidP="00A93E79">
      <w:pPr>
        <w:ind w:left="709"/>
        <w:jc w:val="both"/>
        <w:rPr>
          <w:i/>
        </w:rPr>
      </w:pPr>
    </w:p>
    <w:p w14:paraId="3E42902E" w14:textId="77777777" w:rsidR="00A93E79" w:rsidRPr="00AF7808" w:rsidRDefault="00A93E79" w:rsidP="00A93E79">
      <w:pPr>
        <w:ind w:left="709"/>
        <w:jc w:val="both"/>
        <w:rPr>
          <w:lang w:val="lt-LT"/>
        </w:rPr>
      </w:pPr>
      <w:r w:rsidRPr="00AF7808">
        <w:rPr>
          <w:lang w:val="lt-LT"/>
        </w:rPr>
        <w:t>k – projekto vadovui – 0,25, projekto vykdytojui – 0,2</w:t>
      </w:r>
    </w:p>
    <w:p w14:paraId="3E42902F" w14:textId="77777777" w:rsidR="00800CE8" w:rsidRPr="00AF7808" w:rsidRDefault="00800CE8" w:rsidP="00A93E79">
      <w:pPr>
        <w:ind w:left="709"/>
        <w:jc w:val="both"/>
        <w:rPr>
          <w:lang w:val="lt-LT"/>
        </w:rPr>
      </w:pPr>
      <w:r w:rsidRPr="00AF7808">
        <w:rPr>
          <w:lang w:val="lt-LT"/>
        </w:rPr>
        <w:t>m – mėnesių, už kuriuos skaičiuojamas Premijos dydis, skaičius</w:t>
      </w:r>
    </w:p>
    <w:p w14:paraId="3E429030" w14:textId="77777777" w:rsidR="00A93E79" w:rsidRPr="00AF7808" w:rsidRDefault="00A93E79" w:rsidP="00A93E79">
      <w:pPr>
        <w:ind w:left="709"/>
        <w:jc w:val="both"/>
        <w:rPr>
          <w:lang w:val="lt-LT"/>
        </w:rPr>
      </w:pPr>
      <w:r w:rsidRPr="00AF7808">
        <w:rPr>
          <w:lang w:val="lt-LT"/>
        </w:rPr>
        <w:t>DU – pagrindinio darbo tarnybinio atlyginimo dydis (mokamas iš biudžeto lėšų)</w:t>
      </w:r>
    </w:p>
    <w:p w14:paraId="3E429031" w14:textId="77777777" w:rsidR="00A93E79" w:rsidRPr="00AF7808" w:rsidRDefault="00A93E79" w:rsidP="00A93E79">
      <w:pPr>
        <w:ind w:left="709"/>
        <w:jc w:val="both"/>
        <w:rPr>
          <w:lang w:val="lt-LT"/>
        </w:rPr>
      </w:pPr>
      <w:r w:rsidRPr="00AF7808">
        <w:rPr>
          <w:lang w:val="lt-LT"/>
        </w:rPr>
        <w:t>E</w:t>
      </w:r>
      <w:r w:rsidRPr="00AF7808">
        <w:rPr>
          <w:vertAlign w:val="subscript"/>
          <w:lang w:val="lt-LT"/>
        </w:rPr>
        <w:t>A</w:t>
      </w:r>
      <w:r w:rsidRPr="00AF7808">
        <w:rPr>
          <w:lang w:val="lt-LT"/>
        </w:rPr>
        <w:t xml:space="preserve"> – atsisakoma pagrindinio darbo etato dalis</w:t>
      </w:r>
    </w:p>
    <w:p w14:paraId="3E429032" w14:textId="77777777" w:rsidR="00A93E79" w:rsidRPr="00AF7808" w:rsidRDefault="00A93E79" w:rsidP="00A93E79">
      <w:pPr>
        <w:ind w:left="709"/>
        <w:jc w:val="both"/>
        <w:rPr>
          <w:lang w:val="lt-LT"/>
        </w:rPr>
      </w:pPr>
      <w:r w:rsidRPr="00AF7808">
        <w:rPr>
          <w:lang w:val="lt-LT"/>
        </w:rPr>
        <w:t>E – pagrindinio darbo etato dydis (etatų suma)</w:t>
      </w:r>
    </w:p>
    <w:p w14:paraId="3E429033" w14:textId="77777777" w:rsidR="00A93E79" w:rsidRPr="00AF7808" w:rsidRDefault="00A93E79" w:rsidP="00A93E79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808">
        <w:rPr>
          <w:rFonts w:ascii="Times New Roman" w:hAnsi="Times New Roman"/>
          <w:sz w:val="24"/>
          <w:szCs w:val="24"/>
        </w:rPr>
        <w:t xml:space="preserve">Premijos pagal Aprašo 4.7 punktą mokamos </w:t>
      </w:r>
      <w:r w:rsidR="00800CE8" w:rsidRPr="00AF7808">
        <w:rPr>
          <w:rFonts w:ascii="Times New Roman" w:hAnsi="Times New Roman"/>
          <w:sz w:val="24"/>
          <w:szCs w:val="24"/>
        </w:rPr>
        <w:t>ne dažniau kaip kartą per ketvirtį</w:t>
      </w:r>
      <w:r w:rsidRPr="00AF7808">
        <w:rPr>
          <w:rFonts w:ascii="Times New Roman" w:hAnsi="Times New Roman"/>
          <w:sz w:val="24"/>
          <w:szCs w:val="24"/>
        </w:rPr>
        <w:t xml:space="preserve">. </w:t>
      </w:r>
    </w:p>
    <w:p w14:paraId="3E429034" w14:textId="77777777" w:rsidR="00F13DFC" w:rsidRPr="00AF7808" w:rsidRDefault="00CC34E5" w:rsidP="00A93E79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808">
        <w:rPr>
          <w:rFonts w:ascii="Times New Roman" w:hAnsi="Times New Roman"/>
          <w:sz w:val="24"/>
          <w:szCs w:val="24"/>
        </w:rPr>
        <w:t>Tyrėjai informaciją apie savo mokslinės veiklos rezultatus teikia TSMPI direktoriaus įsakymu sudarytai Komisijai, kuri patvirtina Tyrėjų</w:t>
      </w:r>
      <w:r w:rsidR="00724F9A" w:rsidRPr="00AF7808">
        <w:rPr>
          <w:rFonts w:ascii="Times New Roman" w:hAnsi="Times New Roman"/>
          <w:sz w:val="24"/>
          <w:szCs w:val="24"/>
        </w:rPr>
        <w:t xml:space="preserve"> mok</w:t>
      </w:r>
      <w:r w:rsidRPr="00AF7808">
        <w:rPr>
          <w:rFonts w:ascii="Times New Roman" w:hAnsi="Times New Roman"/>
          <w:sz w:val="24"/>
          <w:szCs w:val="24"/>
        </w:rPr>
        <w:t>slinės veiklos rezultatų atitikimą</w:t>
      </w:r>
      <w:r w:rsidR="00724F9A" w:rsidRPr="00AF7808">
        <w:rPr>
          <w:rFonts w:ascii="Times New Roman" w:hAnsi="Times New Roman"/>
          <w:sz w:val="24"/>
          <w:szCs w:val="24"/>
        </w:rPr>
        <w:t xml:space="preserve"> Aprašo 4 punkte nurodytiems aukšto lygio mokslo pasiekimų reikalavimams</w:t>
      </w:r>
      <w:r w:rsidRPr="00AF7808">
        <w:rPr>
          <w:rFonts w:ascii="Times New Roman" w:hAnsi="Times New Roman"/>
          <w:sz w:val="24"/>
          <w:szCs w:val="24"/>
        </w:rPr>
        <w:t>. Ginčai dėl komisijos sprendimų nagrinėjami TSPMI taryboje.</w:t>
      </w:r>
    </w:p>
    <w:p w14:paraId="3E429035" w14:textId="77777777" w:rsidR="00A530E7" w:rsidRPr="00AF7808" w:rsidRDefault="00A530E7" w:rsidP="00A530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firstLine="821"/>
        <w:contextualSpacing/>
        <w:jc w:val="both"/>
        <w:rPr>
          <w:lang w:val="lt-LT"/>
        </w:rPr>
      </w:pPr>
      <w:r w:rsidRPr="00AF7808">
        <w:rPr>
          <w:lang w:val="lt-LT"/>
        </w:rPr>
        <w:t>Apraše nurodytų premijų dydžiai gali būti proporcingai keičiami atsižvelgiant į Instituto biudžetą.</w:t>
      </w:r>
    </w:p>
    <w:p w14:paraId="3E429036" w14:textId="77777777" w:rsidR="00F13DFC" w:rsidRPr="00AF7808" w:rsidRDefault="00CC34E5" w:rsidP="004C46D1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808">
        <w:rPr>
          <w:rFonts w:ascii="Times New Roman" w:hAnsi="Times New Roman"/>
          <w:sz w:val="24"/>
          <w:szCs w:val="24"/>
        </w:rPr>
        <w:t xml:space="preserve">Komisijos patvirtintą Tyrėjams skirtinų premijų sąrašą </w:t>
      </w:r>
      <w:r w:rsidR="00F13DFC" w:rsidRPr="00AF7808">
        <w:rPr>
          <w:rFonts w:ascii="Times New Roman" w:hAnsi="Times New Roman"/>
          <w:sz w:val="24"/>
          <w:szCs w:val="24"/>
        </w:rPr>
        <w:t xml:space="preserve">TSPMI direktorius teikia Universiteto rektoriui. </w:t>
      </w:r>
    </w:p>
    <w:p w14:paraId="3E429037" w14:textId="77777777" w:rsidR="00F13DFC" w:rsidRPr="00AF7808" w:rsidRDefault="00F13DFC" w:rsidP="00F13DFC">
      <w:pPr>
        <w:contextualSpacing/>
        <w:rPr>
          <w:lang w:val="lt-LT"/>
        </w:rPr>
      </w:pPr>
    </w:p>
    <w:p w14:paraId="3E429038" w14:textId="77777777" w:rsidR="00F13DFC" w:rsidRPr="00AF7808" w:rsidRDefault="00F13DFC" w:rsidP="00F13DFC">
      <w:pPr>
        <w:pStyle w:val="ListParagraph"/>
        <w:tabs>
          <w:tab w:val="left" w:pos="900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F7808">
        <w:rPr>
          <w:rFonts w:ascii="Times New Roman" w:hAnsi="Times New Roman"/>
          <w:b/>
          <w:sz w:val="24"/>
          <w:szCs w:val="24"/>
        </w:rPr>
        <w:t>III SKYRIUS</w:t>
      </w:r>
    </w:p>
    <w:p w14:paraId="3E429039" w14:textId="77777777" w:rsidR="00F13DFC" w:rsidRPr="00AF7808" w:rsidRDefault="00F13DFC" w:rsidP="00F13DFC">
      <w:pPr>
        <w:pStyle w:val="ListParagraph"/>
        <w:tabs>
          <w:tab w:val="left" w:pos="900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AF7808">
        <w:rPr>
          <w:rFonts w:ascii="Times New Roman" w:hAnsi="Times New Roman"/>
          <w:b/>
          <w:sz w:val="24"/>
          <w:szCs w:val="24"/>
        </w:rPr>
        <w:t>BAIGIAMOSIOS NUOSTATOS</w:t>
      </w:r>
    </w:p>
    <w:p w14:paraId="3E42903A" w14:textId="77777777" w:rsidR="00F13DFC" w:rsidRPr="00AF7808" w:rsidRDefault="00F13DFC" w:rsidP="00F13DFC">
      <w:pPr>
        <w:pStyle w:val="ListParagraph"/>
        <w:tabs>
          <w:tab w:val="left" w:pos="900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14:paraId="3E42903B" w14:textId="77777777" w:rsidR="00F13DFC" w:rsidRPr="00AF7808" w:rsidRDefault="00F13DFC" w:rsidP="004C46D1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808">
        <w:rPr>
          <w:rFonts w:ascii="Times New Roman" w:hAnsi="Times New Roman"/>
          <w:sz w:val="24"/>
          <w:szCs w:val="24"/>
        </w:rPr>
        <w:t>Aprašas įsigalioja jį paskelbus Universiteto teisės aktų nustatyta tvarka.</w:t>
      </w:r>
    </w:p>
    <w:p w14:paraId="3E42903C" w14:textId="77777777" w:rsidR="00F13DFC" w:rsidRPr="00AF7808" w:rsidRDefault="00F13DFC" w:rsidP="004C46D1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808">
        <w:rPr>
          <w:rFonts w:ascii="Times New Roman" w:hAnsi="Times New Roman"/>
          <w:sz w:val="24"/>
          <w:szCs w:val="24"/>
        </w:rPr>
        <w:t>Aprašo pakeitimus TSPMI taryba teikia tvirtinti Universiteto rektoriui.</w:t>
      </w:r>
    </w:p>
    <w:p w14:paraId="3E42903D" w14:textId="77777777" w:rsidR="00F13DFC" w:rsidRPr="00AF7808" w:rsidRDefault="00F13DFC" w:rsidP="004C46D1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808">
        <w:rPr>
          <w:rFonts w:ascii="Times New Roman" w:hAnsi="Times New Roman"/>
          <w:sz w:val="24"/>
          <w:szCs w:val="24"/>
        </w:rPr>
        <w:t>Aprašas skelbiamas TSPMI interneto svetainėje.</w:t>
      </w:r>
    </w:p>
    <w:p w14:paraId="3E42903E" w14:textId="77777777" w:rsidR="00F13DFC" w:rsidRPr="00AF7808" w:rsidRDefault="00AC6C66" w:rsidP="00F13DFC">
      <w:pPr>
        <w:jc w:val="center"/>
        <w:rPr>
          <w:lang w:val="lt-LT"/>
        </w:rPr>
      </w:pPr>
      <w:r w:rsidRPr="00AF7808">
        <w:rPr>
          <w:lang w:val="lt-LT"/>
        </w:rPr>
        <w:t>__________________</w:t>
      </w:r>
    </w:p>
    <w:p w14:paraId="3E42903F" w14:textId="77777777" w:rsidR="00AD3E7A" w:rsidRPr="00AF7808" w:rsidRDefault="00AD3E7A" w:rsidP="00F13DFC">
      <w:pPr>
        <w:tabs>
          <w:tab w:val="left" w:pos="567"/>
        </w:tabs>
        <w:rPr>
          <w:lang w:val="lt-LT"/>
        </w:rPr>
      </w:pPr>
    </w:p>
    <w:sectPr w:rsidR="00AD3E7A" w:rsidRPr="00AF7808" w:rsidSect="00CA30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61991" w14:textId="77777777" w:rsidR="00A7379D" w:rsidRDefault="00A7379D" w:rsidP="00786DDD">
      <w:r>
        <w:separator/>
      </w:r>
    </w:p>
  </w:endnote>
  <w:endnote w:type="continuationSeparator" w:id="0">
    <w:p w14:paraId="2F29C7DE" w14:textId="77777777" w:rsidR="00A7379D" w:rsidRDefault="00A7379D" w:rsidP="0078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29046" w14:textId="77777777" w:rsidR="00786DDD" w:rsidRDefault="00786D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29047" w14:textId="77777777" w:rsidR="00786DDD" w:rsidRDefault="00786D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29049" w14:textId="77777777" w:rsidR="00786DDD" w:rsidRDefault="00786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68491" w14:textId="77777777" w:rsidR="00A7379D" w:rsidRDefault="00A7379D" w:rsidP="00786DDD">
      <w:r>
        <w:separator/>
      </w:r>
    </w:p>
  </w:footnote>
  <w:footnote w:type="continuationSeparator" w:id="0">
    <w:p w14:paraId="16C19E14" w14:textId="77777777" w:rsidR="00A7379D" w:rsidRDefault="00A7379D" w:rsidP="00786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29044" w14:textId="77777777" w:rsidR="00786DDD" w:rsidRDefault="00786D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29045" w14:textId="77777777" w:rsidR="00786DDD" w:rsidRDefault="00786D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29048" w14:textId="77777777" w:rsidR="00786DDD" w:rsidRDefault="00786D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BD9"/>
    <w:multiLevelType w:val="multilevel"/>
    <w:tmpl w:val="C29A0E5C"/>
    <w:lvl w:ilvl="0">
      <w:start w:val="1"/>
      <w:numFmt w:val="decimal"/>
      <w:suff w:val="space"/>
      <w:lvlText w:val="%1."/>
      <w:lvlJc w:val="left"/>
      <w:pPr>
        <w:ind w:left="-112" w:firstLine="6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841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8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2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9" w:firstLine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36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3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0" w:firstLine="567"/>
      </w:pPr>
      <w:rPr>
        <w:rFonts w:hint="default"/>
      </w:rPr>
    </w:lvl>
  </w:abstractNum>
  <w:abstractNum w:abstractNumId="1">
    <w:nsid w:val="541C7C93"/>
    <w:multiLevelType w:val="multilevel"/>
    <w:tmpl w:val="7B82BED2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46372E5"/>
    <w:multiLevelType w:val="multilevel"/>
    <w:tmpl w:val="6B78591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DateAndTime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FC"/>
    <w:rsid w:val="00117BF6"/>
    <w:rsid w:val="00174538"/>
    <w:rsid w:val="001C33C7"/>
    <w:rsid w:val="001D08C1"/>
    <w:rsid w:val="0028484B"/>
    <w:rsid w:val="002B4A40"/>
    <w:rsid w:val="00301C69"/>
    <w:rsid w:val="00341FA5"/>
    <w:rsid w:val="003467B7"/>
    <w:rsid w:val="00392E2E"/>
    <w:rsid w:val="003D35EC"/>
    <w:rsid w:val="00484C84"/>
    <w:rsid w:val="004B1E4A"/>
    <w:rsid w:val="004C46D1"/>
    <w:rsid w:val="004E4B94"/>
    <w:rsid w:val="00595377"/>
    <w:rsid w:val="0060617F"/>
    <w:rsid w:val="006D0C9B"/>
    <w:rsid w:val="00724F9A"/>
    <w:rsid w:val="00732347"/>
    <w:rsid w:val="00786DDD"/>
    <w:rsid w:val="007B6BBF"/>
    <w:rsid w:val="007C7449"/>
    <w:rsid w:val="00800CE8"/>
    <w:rsid w:val="008B11C3"/>
    <w:rsid w:val="0095426A"/>
    <w:rsid w:val="0096637B"/>
    <w:rsid w:val="00A530E7"/>
    <w:rsid w:val="00A7379D"/>
    <w:rsid w:val="00A9213E"/>
    <w:rsid w:val="00A93E79"/>
    <w:rsid w:val="00AA2B98"/>
    <w:rsid w:val="00AC6C66"/>
    <w:rsid w:val="00AD3E7A"/>
    <w:rsid w:val="00AF748D"/>
    <w:rsid w:val="00AF7808"/>
    <w:rsid w:val="00B43A42"/>
    <w:rsid w:val="00C03260"/>
    <w:rsid w:val="00C236E4"/>
    <w:rsid w:val="00C92ECE"/>
    <w:rsid w:val="00CA3059"/>
    <w:rsid w:val="00CA7C73"/>
    <w:rsid w:val="00CC34E5"/>
    <w:rsid w:val="00D7182F"/>
    <w:rsid w:val="00E071FE"/>
    <w:rsid w:val="00E7020F"/>
    <w:rsid w:val="00E96D7F"/>
    <w:rsid w:val="00EA3197"/>
    <w:rsid w:val="00ED049E"/>
    <w:rsid w:val="00EF72E3"/>
    <w:rsid w:val="00F1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290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DF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DD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DD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86DD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DDD"/>
    <w:rPr>
      <w:rFonts w:ascii="Times New Roman" w:hAnsi="Times New Roman"/>
      <w:sz w:val="24"/>
    </w:rPr>
  </w:style>
  <w:style w:type="paragraph" w:styleId="Title">
    <w:name w:val="Title"/>
    <w:basedOn w:val="Normal"/>
    <w:link w:val="TitleChar"/>
    <w:qFormat/>
    <w:rsid w:val="00F13DFC"/>
    <w:pPr>
      <w:spacing w:line="360" w:lineRule="auto"/>
      <w:jc w:val="center"/>
    </w:pPr>
    <w:rPr>
      <w:b/>
      <w:lang w:val="lt-LT"/>
    </w:rPr>
  </w:style>
  <w:style w:type="character" w:customStyle="1" w:styleId="TitleChar">
    <w:name w:val="Title Char"/>
    <w:basedOn w:val="DefaultParagraphFont"/>
    <w:link w:val="Title"/>
    <w:rsid w:val="00F13DFC"/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styleId="ListParagraph">
    <w:name w:val="List Paragraph"/>
    <w:basedOn w:val="Normal"/>
    <w:qFormat/>
    <w:rsid w:val="00F13DF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lt-LT" w:eastAsia="en-US"/>
    </w:rPr>
  </w:style>
  <w:style w:type="character" w:styleId="CommentReference">
    <w:name w:val="annotation reference"/>
    <w:basedOn w:val="DefaultParagraphFont"/>
    <w:unhideWhenUsed/>
    <w:rsid w:val="00F13D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3D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3DFC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D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DFC"/>
    <w:rPr>
      <w:rFonts w:ascii="Tahoma" w:eastAsia="SimSun" w:hAnsi="Tahoma" w:cs="Tahoma"/>
      <w:sz w:val="16"/>
      <w:szCs w:val="16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F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F9A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A93E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DF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DD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DD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86DD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DDD"/>
    <w:rPr>
      <w:rFonts w:ascii="Times New Roman" w:hAnsi="Times New Roman"/>
      <w:sz w:val="24"/>
    </w:rPr>
  </w:style>
  <w:style w:type="paragraph" w:styleId="Title">
    <w:name w:val="Title"/>
    <w:basedOn w:val="Normal"/>
    <w:link w:val="TitleChar"/>
    <w:qFormat/>
    <w:rsid w:val="00F13DFC"/>
    <w:pPr>
      <w:spacing w:line="360" w:lineRule="auto"/>
      <w:jc w:val="center"/>
    </w:pPr>
    <w:rPr>
      <w:b/>
      <w:lang w:val="lt-LT"/>
    </w:rPr>
  </w:style>
  <w:style w:type="character" w:customStyle="1" w:styleId="TitleChar">
    <w:name w:val="Title Char"/>
    <w:basedOn w:val="DefaultParagraphFont"/>
    <w:link w:val="Title"/>
    <w:rsid w:val="00F13DFC"/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styleId="ListParagraph">
    <w:name w:val="List Paragraph"/>
    <w:basedOn w:val="Normal"/>
    <w:qFormat/>
    <w:rsid w:val="00F13DF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lt-LT" w:eastAsia="en-US"/>
    </w:rPr>
  </w:style>
  <w:style w:type="character" w:styleId="CommentReference">
    <w:name w:val="annotation reference"/>
    <w:basedOn w:val="DefaultParagraphFont"/>
    <w:unhideWhenUsed/>
    <w:rsid w:val="00F13D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3D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3DFC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D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DFC"/>
    <w:rPr>
      <w:rFonts w:ascii="Tahoma" w:eastAsia="SimSun" w:hAnsi="Tahoma" w:cs="Tahoma"/>
      <w:sz w:val="16"/>
      <w:szCs w:val="16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F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F9A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A93E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3588</Words>
  <Characters>2046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Vilniaus universitetas</Company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Andrius Valuta</dc:creator>
  <cp:lastModifiedBy>Vilius</cp:lastModifiedBy>
  <cp:revision>2</cp:revision>
  <cp:lastPrinted>2018-01-10T12:41:00Z</cp:lastPrinted>
  <dcterms:created xsi:type="dcterms:W3CDTF">2018-03-28T13:33:00Z</dcterms:created>
  <dcterms:modified xsi:type="dcterms:W3CDTF">2018-03-28T13:33:00Z</dcterms:modified>
</cp:coreProperties>
</file>