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6" w:rsidRPr="00B603C4" w:rsidRDefault="00384566" w:rsidP="00384566">
      <w:pPr>
        <w:tabs>
          <w:tab w:val="left" w:pos="1843"/>
        </w:tabs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1020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15"/>
        <w:gridCol w:w="45"/>
        <w:gridCol w:w="540"/>
        <w:gridCol w:w="810"/>
        <w:gridCol w:w="306"/>
        <w:gridCol w:w="851"/>
        <w:gridCol w:w="1813"/>
        <w:gridCol w:w="2282"/>
      </w:tblGrid>
      <w:tr w:rsidR="00384566" w:rsidRPr="00B603C4" w:rsidTr="0032141B">
        <w:tc>
          <w:tcPr>
            <w:tcW w:w="3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Dalyko pavadinimas</w:t>
            </w:r>
          </w:p>
        </w:tc>
        <w:tc>
          <w:tcPr>
            <w:tcW w:w="2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 kryptis (šaka)</w:t>
            </w:r>
          </w:p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Kodas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Fakultetas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Katedra</w:t>
            </w:r>
          </w:p>
        </w:tc>
      </w:tr>
      <w:tr w:rsidR="00384566" w:rsidRPr="00B603C4" w:rsidTr="0032141B">
        <w:tc>
          <w:tcPr>
            <w:tcW w:w="3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Bendradarbiavimas ir integracija Europoje </w:t>
            </w:r>
          </w:p>
        </w:tc>
        <w:tc>
          <w:tcPr>
            <w:tcW w:w="25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Politikos mokslai 02S  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TSPMI </w:t>
            </w:r>
          </w:p>
        </w:tc>
        <w:tc>
          <w:tcPr>
            <w:tcW w:w="22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Europos studijų katedra </w:t>
            </w:r>
          </w:p>
        </w:tc>
      </w:tr>
      <w:tr w:rsidR="00384566" w:rsidRPr="00B603C4" w:rsidTr="0032141B">
        <w:tc>
          <w:tcPr>
            <w:tcW w:w="359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</w:p>
        </w:tc>
      </w:tr>
      <w:tr w:rsidR="00384566" w:rsidRPr="00B603C4" w:rsidTr="0032141B">
        <w:tc>
          <w:tcPr>
            <w:tcW w:w="35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53" w:type="dxa"/>
            <w:gridSpan w:val="2"/>
            <w:tcBorders>
              <w:top w:val="double" w:sz="6" w:space="0" w:color="auto"/>
              <w:bottom w:val="nil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1701" w:type="dxa"/>
            <w:gridSpan w:val="4"/>
            <w:tcBorders>
              <w:top w:val="double" w:sz="6" w:space="0" w:color="auto"/>
              <w:bottom w:val="nil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  <w:tc>
          <w:tcPr>
            <w:tcW w:w="2664" w:type="dxa"/>
            <w:gridSpan w:val="2"/>
            <w:tcBorders>
              <w:top w:val="double" w:sz="6" w:space="0" w:color="auto"/>
              <w:bottom w:val="nil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2282" w:type="dxa"/>
            <w:tcBorders>
              <w:top w:val="double" w:sz="6" w:space="0" w:color="auto"/>
              <w:bottom w:val="nil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5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Paskaitos 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Konsultacijos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6" w:space="0" w:color="auto"/>
            </w:tcBorders>
          </w:tcPr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5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Individualus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Seminarai/kolokviumas</w:t>
            </w:r>
          </w:p>
        </w:tc>
        <w:tc>
          <w:tcPr>
            <w:tcW w:w="2282" w:type="dxa"/>
            <w:tcBorders>
              <w:top w:val="single" w:sz="6" w:space="0" w:color="auto"/>
              <w:bottom w:val="single" w:sz="12" w:space="0" w:color="auto"/>
            </w:tcBorders>
          </w:tcPr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84566" w:rsidRPr="00B603C4" w:rsidRDefault="00384566" w:rsidP="0032141B">
            <w:pPr>
              <w:rPr>
                <w:b/>
                <w:sz w:val="20"/>
                <w:szCs w:val="20"/>
              </w:rPr>
            </w:pPr>
            <w:r w:rsidRPr="00B603C4">
              <w:rPr>
                <w:b/>
                <w:sz w:val="20"/>
                <w:szCs w:val="20"/>
              </w:rPr>
              <w:t>Dalyko anotacija</w:t>
            </w: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9"/>
            <w:tcBorders>
              <w:top w:val="single" w:sz="12" w:space="0" w:color="auto"/>
              <w:bottom w:val="nil"/>
            </w:tcBorders>
          </w:tcPr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Bendradarbiavimas ir integracija Europoje - tai pasirenkamas doktorantūros studijų kursas,  skirtas Europos kontinente veikiančių tarptautinio bendradarbiavimo organizacijų (Europos Sąjungos, Europos Tarybos, NATO, ESBO ir kitų </w:t>
            </w:r>
            <w:proofErr w:type="spellStart"/>
            <w:r w:rsidRPr="00C879FC">
              <w:rPr>
                <w:sz w:val="20"/>
                <w:szCs w:val="20"/>
              </w:rPr>
              <w:t>subregioninių</w:t>
            </w:r>
            <w:proofErr w:type="spellEnd"/>
            <w:r w:rsidRPr="00C879FC">
              <w:rPr>
                <w:sz w:val="20"/>
                <w:szCs w:val="20"/>
              </w:rPr>
              <w:t xml:space="preserve"> junginių) paskirties, institucinės sąrangos, patirties ir raidos problemoms analizuoti. Kurso dėmesio centre – pagrindinis Europos integracinis kompleksas – Europos Sąjunga.              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>Kurso struktūra: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  <w:u w:val="single"/>
              </w:rPr>
            </w:pPr>
            <w:r w:rsidRPr="00C879FC">
              <w:rPr>
                <w:sz w:val="20"/>
                <w:szCs w:val="20"/>
                <w:u w:val="single"/>
              </w:rPr>
              <w:t>1 dalis. Empirinis-istorinis matmuo: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1 tema. Europos institucionalizacija Šaltojo karo metais.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2 tema. Europos institucionalizacijos permainos po Šaltojo karo.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3 tema. Europos Sąjungos reformų ir plėtros dilemos</w:t>
            </w:r>
            <w:r w:rsidR="001A279A" w:rsidRPr="00C879FC">
              <w:rPr>
                <w:sz w:val="20"/>
                <w:szCs w:val="20"/>
              </w:rPr>
              <w:t xml:space="preserve"> XXI amžiuje</w:t>
            </w:r>
            <w:r w:rsidRPr="00C879FC">
              <w:rPr>
                <w:sz w:val="20"/>
                <w:szCs w:val="20"/>
              </w:rPr>
              <w:t>.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  <w:u w:val="single"/>
              </w:rPr>
            </w:pPr>
            <w:r w:rsidRPr="00C879FC">
              <w:rPr>
                <w:sz w:val="20"/>
                <w:szCs w:val="20"/>
                <w:u w:val="single"/>
              </w:rPr>
              <w:t>2 dalis. Institucinis-organizacinis matmuo: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4 tema. Valdžios padalijimo</w:t>
            </w:r>
            <w:r w:rsidR="001A279A" w:rsidRPr="00C879FC">
              <w:rPr>
                <w:sz w:val="20"/>
                <w:szCs w:val="20"/>
              </w:rPr>
              <w:t xml:space="preserve"> ir jo kaitos</w:t>
            </w:r>
            <w:r w:rsidRPr="00C879FC">
              <w:rPr>
                <w:sz w:val="20"/>
                <w:szCs w:val="20"/>
              </w:rPr>
              <w:t xml:space="preserve"> specifika Europos Sąjungoje.</w:t>
            </w:r>
          </w:p>
          <w:p w:rsidR="00384566" w:rsidRPr="00C879FC" w:rsidRDefault="00384566" w:rsidP="0032141B">
            <w:pPr>
              <w:ind w:left="1080" w:hanging="1080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5 tema. Aktualios Europos Sąjungos </w:t>
            </w:r>
            <w:r w:rsidR="001A279A" w:rsidRPr="00C879FC">
              <w:rPr>
                <w:sz w:val="20"/>
                <w:szCs w:val="20"/>
              </w:rPr>
              <w:t xml:space="preserve">viešosios </w:t>
            </w:r>
            <w:r w:rsidRPr="00C879FC">
              <w:rPr>
                <w:sz w:val="20"/>
                <w:szCs w:val="20"/>
              </w:rPr>
              <w:t>politik</w:t>
            </w:r>
            <w:r w:rsidR="001A279A" w:rsidRPr="00C879FC">
              <w:rPr>
                <w:sz w:val="20"/>
                <w:szCs w:val="20"/>
              </w:rPr>
              <w:t>os raidos ir plėtros</w:t>
            </w:r>
            <w:r w:rsidRPr="00C879FC">
              <w:rPr>
                <w:sz w:val="20"/>
                <w:szCs w:val="20"/>
              </w:rPr>
              <w:t xml:space="preserve"> problemos 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6 tema. Pagrindinės </w:t>
            </w:r>
            <w:r w:rsidR="001A279A" w:rsidRPr="00C879FC">
              <w:rPr>
                <w:sz w:val="20"/>
                <w:szCs w:val="20"/>
              </w:rPr>
              <w:t>ES politinės ir ekonominės valdysenos naujovės</w:t>
            </w:r>
            <w:r w:rsidRPr="00C879FC">
              <w:rPr>
                <w:sz w:val="20"/>
                <w:szCs w:val="20"/>
              </w:rPr>
              <w:t xml:space="preserve">.   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  <w:u w:val="single"/>
              </w:rPr>
            </w:pPr>
            <w:r w:rsidRPr="00C879FC">
              <w:rPr>
                <w:sz w:val="20"/>
                <w:szCs w:val="20"/>
                <w:u w:val="single"/>
              </w:rPr>
              <w:t>3 dalis. Teorinis matmuo: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7 tema. Liberalusis-ekonominis integracijos aiškinimas.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8 tema. Realistinis-geopolitinis integracijos aiškinimas.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     9 tema. Normatyvinis-</w:t>
            </w:r>
            <w:proofErr w:type="spellStart"/>
            <w:r w:rsidRPr="00C879FC">
              <w:rPr>
                <w:sz w:val="20"/>
                <w:szCs w:val="20"/>
              </w:rPr>
              <w:t>konstruktyvistinis</w:t>
            </w:r>
            <w:proofErr w:type="spellEnd"/>
            <w:r w:rsidRPr="00C879FC">
              <w:rPr>
                <w:sz w:val="20"/>
                <w:szCs w:val="20"/>
              </w:rPr>
              <w:t xml:space="preserve"> integracijos aiškinimas.</w:t>
            </w:r>
          </w:p>
          <w:p w:rsidR="00384566" w:rsidRPr="00C879FC" w:rsidRDefault="00384566" w:rsidP="0032141B">
            <w:pPr>
              <w:jc w:val="both"/>
              <w:rPr>
                <w:sz w:val="20"/>
                <w:szCs w:val="20"/>
              </w:rPr>
            </w:pPr>
          </w:p>
          <w:p w:rsidR="00A524C8" w:rsidRPr="00C879FC" w:rsidRDefault="00384566" w:rsidP="0032141B">
            <w:pPr>
              <w:jc w:val="both"/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Atsiskaitymo forma: </w:t>
            </w:r>
          </w:p>
          <w:p w:rsidR="00A524C8" w:rsidRPr="00C879FC" w:rsidRDefault="00A524C8" w:rsidP="00A524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 xml:space="preserve">Rašto darbas (arba recenzija) </w:t>
            </w:r>
            <w:r w:rsidR="00D43DC2" w:rsidRPr="00C879FC">
              <w:rPr>
                <w:sz w:val="20"/>
                <w:szCs w:val="20"/>
              </w:rPr>
              <w:t xml:space="preserve">su konsultuojančiais dėstytojais </w:t>
            </w:r>
            <w:r w:rsidRPr="00C879FC">
              <w:rPr>
                <w:sz w:val="20"/>
                <w:szCs w:val="20"/>
              </w:rPr>
              <w:t>suderinta tema – 70 proc.,</w:t>
            </w:r>
          </w:p>
          <w:p w:rsidR="00384566" w:rsidRPr="00A524C8" w:rsidRDefault="00A524C8" w:rsidP="00A524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879FC">
              <w:rPr>
                <w:sz w:val="20"/>
                <w:szCs w:val="20"/>
              </w:rPr>
              <w:t>Diskusija</w:t>
            </w:r>
            <w:r w:rsidR="00D43DC2" w:rsidRPr="00C879FC">
              <w:rPr>
                <w:sz w:val="20"/>
                <w:szCs w:val="20"/>
              </w:rPr>
              <w:t xml:space="preserve"> su konsultuojančiais dėstytojais</w:t>
            </w:r>
            <w:r w:rsidRPr="00C879FC">
              <w:rPr>
                <w:sz w:val="20"/>
                <w:szCs w:val="20"/>
              </w:rPr>
              <w:t xml:space="preserve"> (arba vieša paskaita dalyvaujant konsultuojantiems dėstytojais</w:t>
            </w:r>
            <w:r w:rsidR="00D43DC2" w:rsidRPr="00C879FC">
              <w:rPr>
                <w:sz w:val="20"/>
                <w:szCs w:val="20"/>
              </w:rPr>
              <w:t>)</w:t>
            </w:r>
            <w:r w:rsidRPr="00C879FC">
              <w:rPr>
                <w:sz w:val="20"/>
                <w:szCs w:val="20"/>
              </w:rPr>
              <w:t xml:space="preserve"> kurso turinio tematika – 30 proc.</w:t>
            </w:r>
          </w:p>
          <w:p w:rsidR="00A524C8" w:rsidRPr="00B603C4" w:rsidRDefault="00A524C8" w:rsidP="0032141B">
            <w:pPr>
              <w:jc w:val="both"/>
              <w:rPr>
                <w:sz w:val="20"/>
                <w:szCs w:val="20"/>
              </w:rPr>
            </w:pP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384566" w:rsidRPr="00B603C4" w:rsidRDefault="00384566" w:rsidP="0032141B">
            <w:pPr>
              <w:rPr>
                <w:b/>
                <w:sz w:val="20"/>
                <w:szCs w:val="20"/>
              </w:rPr>
            </w:pPr>
            <w:r w:rsidRPr="00B603C4">
              <w:rPr>
                <w:b/>
                <w:sz w:val="20"/>
                <w:szCs w:val="20"/>
              </w:rPr>
              <w:t>Pagrindinė literatūra</w:t>
            </w: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337A4A" w:rsidRPr="00337A4A" w:rsidRDefault="00337A4A" w:rsidP="00F1490F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2"/>
                <w:lang w:val="en-US"/>
              </w:rPr>
            </w:pPr>
            <w:proofErr w:type="spellStart"/>
            <w:r w:rsidRPr="008606A9">
              <w:rPr>
                <w:sz w:val="20"/>
                <w:szCs w:val="20"/>
                <w:lang w:val="en-US"/>
              </w:rPr>
              <w:t>Knud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 Erik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Jørgensen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, Mark Pollack, Ben Rosamond (2007), </w:t>
            </w:r>
            <w:r w:rsidRPr="008606A9">
              <w:rPr>
                <w:i/>
                <w:sz w:val="20"/>
                <w:szCs w:val="20"/>
                <w:lang w:val="en-US"/>
              </w:rPr>
              <w:t>The SAGE Handbook of European Union Politics</w:t>
            </w:r>
            <w:r w:rsidRPr="008606A9">
              <w:rPr>
                <w:sz w:val="20"/>
                <w:szCs w:val="20"/>
                <w:lang w:val="en-US"/>
              </w:rPr>
              <w:t>, Sage</w:t>
            </w:r>
          </w:p>
          <w:p w:rsidR="00337A4A" w:rsidRPr="00337A4A" w:rsidRDefault="00337A4A" w:rsidP="00F1490F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2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 xml:space="preserve">Antje Wiener and Thomas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Diez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>., eds. (2009), European Integration Theory, 2nd edition, Oxford UP.</w:t>
            </w:r>
          </w:p>
          <w:p w:rsidR="00F1490F" w:rsidRPr="008606A9" w:rsidRDefault="00337A4A" w:rsidP="00F1490F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2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 xml:space="preserve">Ian Bache, Stephen George, and Simon Bulmer (2010), </w:t>
            </w:r>
            <w:r w:rsidRPr="008606A9">
              <w:rPr>
                <w:i/>
                <w:sz w:val="20"/>
                <w:szCs w:val="20"/>
                <w:lang w:val="en-US"/>
              </w:rPr>
              <w:t>Politics in the European Union</w:t>
            </w:r>
            <w:r w:rsidRPr="008606A9">
              <w:rPr>
                <w:sz w:val="20"/>
                <w:szCs w:val="20"/>
                <w:lang w:val="en-US"/>
              </w:rPr>
              <w:t>, Third Edition, Oxford UP.</w:t>
            </w:r>
          </w:p>
          <w:p w:rsidR="00F1490F" w:rsidRPr="008606A9" w:rsidRDefault="00F1490F" w:rsidP="00F1490F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2"/>
                <w:lang w:val="en-US"/>
              </w:rPr>
            </w:pPr>
            <w:r w:rsidRPr="008606A9">
              <w:rPr>
                <w:sz w:val="20"/>
                <w:szCs w:val="22"/>
                <w:lang w:val="en-US"/>
              </w:rPr>
              <w:t>Neill Nugent</w:t>
            </w:r>
            <w:r w:rsidR="00821A68" w:rsidRPr="008606A9">
              <w:rPr>
                <w:sz w:val="20"/>
                <w:szCs w:val="22"/>
                <w:lang w:val="en-US"/>
              </w:rPr>
              <w:t xml:space="preserve"> (2010)</w:t>
            </w:r>
            <w:r w:rsidRPr="008606A9">
              <w:rPr>
                <w:sz w:val="20"/>
                <w:szCs w:val="22"/>
                <w:lang w:val="en-US"/>
              </w:rPr>
              <w:t xml:space="preserve">, </w:t>
            </w:r>
            <w:r w:rsidRPr="008606A9">
              <w:rPr>
                <w:i/>
                <w:sz w:val="20"/>
                <w:szCs w:val="22"/>
                <w:lang w:val="en-US"/>
              </w:rPr>
              <w:t>The Government and Politics of the European Union</w:t>
            </w:r>
            <w:r w:rsidR="002C072C" w:rsidRPr="008606A9">
              <w:rPr>
                <w:sz w:val="20"/>
                <w:szCs w:val="22"/>
                <w:lang w:val="en-US"/>
              </w:rPr>
              <w:t>, 7th</w:t>
            </w:r>
            <w:r w:rsidRPr="008606A9">
              <w:rPr>
                <w:sz w:val="20"/>
                <w:szCs w:val="22"/>
                <w:lang w:val="en-US"/>
              </w:rPr>
              <w:t xml:space="preserve"> edition, Palgrave Macmillan</w:t>
            </w:r>
            <w:r w:rsidR="00821A68" w:rsidRPr="008606A9">
              <w:rPr>
                <w:sz w:val="20"/>
                <w:szCs w:val="22"/>
                <w:lang w:val="en-US"/>
              </w:rPr>
              <w:t>.</w:t>
            </w:r>
            <w:r w:rsidRPr="008606A9">
              <w:rPr>
                <w:sz w:val="20"/>
                <w:szCs w:val="22"/>
                <w:lang w:val="en-US"/>
              </w:rPr>
              <w:t xml:space="preserve"> </w:t>
            </w:r>
          </w:p>
          <w:p w:rsidR="00337A4A" w:rsidRDefault="00337A4A" w:rsidP="00337A4A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337A4A">
              <w:rPr>
                <w:sz w:val="20"/>
                <w:szCs w:val="20"/>
                <w:lang w:val="en-US"/>
              </w:rPr>
              <w:t>George Ros</w:t>
            </w:r>
            <w:r>
              <w:rPr>
                <w:sz w:val="20"/>
                <w:szCs w:val="20"/>
                <w:lang w:val="en-US"/>
              </w:rPr>
              <w:t xml:space="preserve">s (2011), </w:t>
            </w:r>
            <w:proofErr w:type="gramStart"/>
            <w:r w:rsidRPr="00337A4A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337A4A">
              <w:rPr>
                <w:sz w:val="20"/>
                <w:szCs w:val="20"/>
                <w:lang w:val="en-US"/>
              </w:rPr>
              <w:t xml:space="preserve"> European Union and Its Crises: Through the Eyes of the Brussels Elite</w:t>
            </w:r>
            <w:r>
              <w:rPr>
                <w:sz w:val="20"/>
                <w:szCs w:val="20"/>
                <w:lang w:val="en-US"/>
              </w:rPr>
              <w:t>, Palgrave Macmillan.</w:t>
            </w:r>
          </w:p>
          <w:p w:rsidR="006B7EAE" w:rsidRPr="008606A9" w:rsidRDefault="006B7EAE" w:rsidP="006B7EAE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 xml:space="preserve">Simon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Hix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Bjørn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Høyland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 (2013), T</w:t>
            </w:r>
            <w:r w:rsidRPr="008606A9">
              <w:rPr>
                <w:i/>
                <w:sz w:val="20"/>
                <w:szCs w:val="20"/>
                <w:lang w:val="en-US"/>
              </w:rPr>
              <w:t>he Political System of the European Union</w:t>
            </w:r>
            <w:r w:rsidRPr="008606A9">
              <w:rPr>
                <w:sz w:val="20"/>
                <w:szCs w:val="20"/>
                <w:lang w:val="en-US"/>
              </w:rPr>
              <w:t>, 3</w:t>
            </w:r>
            <w:r w:rsidRPr="008606A9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8606A9">
              <w:rPr>
                <w:sz w:val="20"/>
                <w:szCs w:val="20"/>
                <w:lang w:val="en-US"/>
              </w:rPr>
              <w:t xml:space="preserve"> edition, </w:t>
            </w:r>
            <w:r w:rsidRPr="008606A9">
              <w:rPr>
                <w:sz w:val="20"/>
                <w:szCs w:val="22"/>
                <w:lang w:val="en-US"/>
              </w:rPr>
              <w:t>Palgrave Macmillan.</w:t>
            </w:r>
          </w:p>
          <w:p w:rsidR="00821A68" w:rsidRPr="008606A9" w:rsidRDefault="00821A68" w:rsidP="00821A6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 xml:space="preserve">Laurie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Buonanno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, Neill Nugent (2013), </w:t>
            </w:r>
            <w:r w:rsidRPr="008606A9">
              <w:rPr>
                <w:i/>
                <w:sz w:val="20"/>
                <w:szCs w:val="20"/>
                <w:lang w:val="en-US"/>
              </w:rPr>
              <w:t>Policies and Policy Processes of the European Union</w:t>
            </w:r>
            <w:r w:rsidRPr="008606A9">
              <w:rPr>
                <w:sz w:val="20"/>
                <w:szCs w:val="20"/>
                <w:lang w:val="en-US"/>
              </w:rPr>
              <w:t>, Palgrave Macmillan</w:t>
            </w:r>
          </w:p>
          <w:p w:rsidR="000A44CF" w:rsidRPr="008606A9" w:rsidRDefault="00337A4A" w:rsidP="000A44C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 xml:space="preserve">Stephan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Keukeleire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, Tom </w:t>
            </w:r>
            <w:proofErr w:type="spellStart"/>
            <w:r w:rsidRPr="008606A9">
              <w:rPr>
                <w:sz w:val="20"/>
                <w:szCs w:val="20"/>
                <w:lang w:val="en-US"/>
              </w:rPr>
              <w:t>Delreux</w:t>
            </w:r>
            <w:proofErr w:type="spellEnd"/>
            <w:r w:rsidRPr="008606A9">
              <w:rPr>
                <w:sz w:val="20"/>
                <w:szCs w:val="20"/>
                <w:lang w:val="en-US"/>
              </w:rPr>
              <w:t xml:space="preserve"> (2014), The Foreign Policy of the European Union, 2nd edition, Palgrave Macmillan.</w:t>
            </w:r>
          </w:p>
          <w:p w:rsidR="00384566" w:rsidRDefault="00337A4A" w:rsidP="002C072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8606A9">
              <w:rPr>
                <w:spacing w:val="-3"/>
                <w:sz w:val="20"/>
                <w:szCs w:val="22"/>
                <w:lang w:val="en-US"/>
              </w:rPr>
              <w:t xml:space="preserve">Desmond </w:t>
            </w:r>
            <w:proofErr w:type="spellStart"/>
            <w:r w:rsidRPr="008606A9">
              <w:rPr>
                <w:spacing w:val="-3"/>
                <w:sz w:val="20"/>
                <w:szCs w:val="22"/>
                <w:lang w:val="en-US"/>
              </w:rPr>
              <w:t>Dinan</w:t>
            </w:r>
            <w:proofErr w:type="spellEnd"/>
            <w:r w:rsidRPr="008606A9">
              <w:rPr>
                <w:spacing w:val="-3"/>
                <w:sz w:val="20"/>
                <w:szCs w:val="22"/>
                <w:lang w:val="en-US"/>
              </w:rPr>
              <w:t xml:space="preserve"> (2014), </w:t>
            </w:r>
            <w:r w:rsidRPr="008606A9">
              <w:rPr>
                <w:i/>
                <w:spacing w:val="-3"/>
                <w:sz w:val="20"/>
                <w:szCs w:val="22"/>
                <w:lang w:val="en-US"/>
              </w:rPr>
              <w:t>Europe Recast. A History of the European Union</w:t>
            </w:r>
            <w:r w:rsidRPr="008606A9">
              <w:rPr>
                <w:spacing w:val="-3"/>
                <w:sz w:val="20"/>
                <w:szCs w:val="22"/>
                <w:lang w:val="en-US"/>
              </w:rPr>
              <w:t>, 2nd edition, Palgrave Macmillan.</w:t>
            </w:r>
          </w:p>
          <w:p w:rsidR="00082078" w:rsidRDefault="00082078" w:rsidP="0008207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082078">
              <w:rPr>
                <w:sz w:val="20"/>
                <w:szCs w:val="20"/>
                <w:lang w:val="en-US"/>
              </w:rPr>
              <w:t>Giandomenico</w:t>
            </w:r>
            <w:proofErr w:type="spellEnd"/>
            <w:r w:rsidRPr="000820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078">
              <w:rPr>
                <w:sz w:val="20"/>
                <w:szCs w:val="20"/>
                <w:lang w:val="en-US"/>
              </w:rPr>
              <w:t>Majone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(2014), </w:t>
            </w:r>
            <w:r w:rsidRPr="00082078">
              <w:rPr>
                <w:i/>
                <w:sz w:val="20"/>
                <w:szCs w:val="20"/>
                <w:lang w:val="en-US"/>
              </w:rPr>
              <w:t>Rethinking the Union of Europe Post-Crisis: Has Integration Gone Too Far,</w:t>
            </w:r>
            <w:r>
              <w:rPr>
                <w:sz w:val="20"/>
                <w:szCs w:val="20"/>
                <w:lang w:val="en-US"/>
              </w:rPr>
              <w:t xml:space="preserve"> Cambridge UP.</w:t>
            </w:r>
          </w:p>
          <w:p w:rsidR="00C879FC" w:rsidRPr="008606A9" w:rsidRDefault="00C879FC" w:rsidP="0008207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384566" w:rsidRPr="008606A9" w:rsidRDefault="009556CF" w:rsidP="0032141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06A9">
              <w:rPr>
                <w:b/>
                <w:sz w:val="20"/>
                <w:szCs w:val="20"/>
                <w:u w:val="single"/>
              </w:rPr>
              <w:t xml:space="preserve">Europos integracijos </w:t>
            </w:r>
            <w:r w:rsidR="00384566" w:rsidRPr="008606A9">
              <w:rPr>
                <w:b/>
                <w:sz w:val="20"/>
                <w:szCs w:val="20"/>
                <w:u w:val="single"/>
              </w:rPr>
              <w:t>tyrimų cent</w:t>
            </w:r>
            <w:r w:rsidRPr="008606A9">
              <w:rPr>
                <w:b/>
                <w:sz w:val="20"/>
                <w:szCs w:val="20"/>
                <w:u w:val="single"/>
              </w:rPr>
              <w:t>r</w:t>
            </w:r>
            <w:r w:rsidR="00384566" w:rsidRPr="008606A9">
              <w:rPr>
                <w:b/>
                <w:sz w:val="20"/>
                <w:szCs w:val="20"/>
                <w:u w:val="single"/>
              </w:rPr>
              <w:t>ų portalai</w:t>
            </w:r>
          </w:p>
        </w:tc>
      </w:tr>
      <w:tr w:rsidR="0038456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9"/>
            <w:tcBorders>
              <w:top w:val="double" w:sz="6" w:space="0" w:color="auto"/>
              <w:bottom w:val="single" w:sz="12" w:space="0" w:color="auto"/>
            </w:tcBorders>
          </w:tcPr>
          <w:p w:rsidR="008606A9" w:rsidRPr="008606A9" w:rsidRDefault="008606A9" w:rsidP="0038456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>Arena Center for European Studies (University of Oslo)</w:t>
            </w:r>
          </w:p>
          <w:p w:rsidR="008606A9" w:rsidRPr="008606A9" w:rsidRDefault="008606A9" w:rsidP="0038456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>Center for European Reform – CER (London)</w:t>
            </w:r>
          </w:p>
          <w:p w:rsidR="00384566" w:rsidRPr="008606A9" w:rsidRDefault="00384566" w:rsidP="0038456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>Center for European Policy Studies</w:t>
            </w:r>
            <w:r w:rsidR="008606A9" w:rsidRPr="008606A9">
              <w:rPr>
                <w:sz w:val="20"/>
                <w:szCs w:val="20"/>
                <w:lang w:val="en-US"/>
              </w:rPr>
              <w:t xml:space="preserve"> - CEPS</w:t>
            </w:r>
            <w:r w:rsidRPr="008606A9">
              <w:rPr>
                <w:sz w:val="20"/>
                <w:szCs w:val="20"/>
                <w:lang w:val="en-US"/>
              </w:rPr>
              <w:t xml:space="preserve"> </w:t>
            </w:r>
            <w:r w:rsidR="008606A9" w:rsidRPr="008606A9">
              <w:rPr>
                <w:sz w:val="20"/>
                <w:szCs w:val="20"/>
                <w:lang w:val="en-US"/>
              </w:rPr>
              <w:t>(Brussels)</w:t>
            </w:r>
          </w:p>
          <w:p w:rsidR="00384566" w:rsidRPr="008606A9" w:rsidRDefault="008606A9" w:rsidP="0038456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 xml:space="preserve">European </w:t>
            </w:r>
            <w:r w:rsidR="00384566" w:rsidRPr="008606A9">
              <w:rPr>
                <w:sz w:val="20"/>
                <w:szCs w:val="20"/>
                <w:lang w:val="en-US"/>
              </w:rPr>
              <w:t>C</w:t>
            </w:r>
            <w:r w:rsidRPr="008606A9">
              <w:rPr>
                <w:sz w:val="20"/>
                <w:szCs w:val="20"/>
                <w:lang w:val="en-US"/>
              </w:rPr>
              <w:t>ouncil on Foreign Relations - ECFR</w:t>
            </w:r>
          </w:p>
          <w:p w:rsidR="008606A9" w:rsidRPr="008606A9" w:rsidRDefault="008606A9" w:rsidP="0038456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lastRenderedPageBreak/>
              <w:t>Notre Europe</w:t>
            </w:r>
          </w:p>
          <w:p w:rsidR="008606A9" w:rsidRPr="008606A9" w:rsidRDefault="008606A9" w:rsidP="0038456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 xml:space="preserve">EU Institute for Security Studies </w:t>
            </w:r>
          </w:p>
          <w:p w:rsidR="00384566" w:rsidRPr="008606A9" w:rsidRDefault="008606A9" w:rsidP="008606A9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8606A9">
              <w:rPr>
                <w:sz w:val="20"/>
                <w:szCs w:val="20"/>
                <w:lang w:val="en-US"/>
              </w:rPr>
              <w:t>Robert Schuman Foundation</w:t>
            </w:r>
          </w:p>
        </w:tc>
      </w:tr>
      <w:tr w:rsidR="00384566" w:rsidRPr="00B603C4" w:rsidTr="003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lastRenderedPageBreak/>
              <w:t>Konsultuojančiųjų dėstytojų vardas, pavardė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</w:t>
            </w:r>
          </w:p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laipsnis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pedag</w:t>
            </w:r>
            <w:proofErr w:type="spellEnd"/>
            <w:r w:rsidRPr="00B603C4">
              <w:rPr>
                <w:sz w:val="20"/>
                <w:szCs w:val="20"/>
              </w:rPr>
              <w:t>.</w:t>
            </w:r>
          </w:p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Vardas</w:t>
            </w:r>
          </w:p>
        </w:tc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Svarbiausieji  darbai mokslo kryptyje (šakoje) paskelbti per pastaruosius 5 metus</w:t>
            </w:r>
          </w:p>
        </w:tc>
      </w:tr>
      <w:tr w:rsidR="00D04E6A" w:rsidRPr="00B603C4" w:rsidTr="003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04E6A" w:rsidRPr="00B603C4" w:rsidRDefault="00D04E6A" w:rsidP="00321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Čičinskas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E6A" w:rsidRDefault="00D04E6A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Habil. dr.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04E6A" w:rsidRDefault="00D04E6A" w:rsidP="00321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</w:tc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5920" w:rsidRPr="00923767" w:rsidRDefault="00035920" w:rsidP="00035920">
            <w:pPr>
              <w:ind w:left="224" w:hanging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Jonas </w:t>
            </w:r>
            <w:r w:rsidRPr="00923767">
              <w:rPr>
                <w:sz w:val="20"/>
                <w:szCs w:val="20"/>
              </w:rPr>
              <w:t>Čičinskas</w:t>
            </w:r>
            <w:r>
              <w:rPr>
                <w:sz w:val="20"/>
                <w:szCs w:val="20"/>
              </w:rPr>
              <w:t>,</w:t>
            </w:r>
            <w:r w:rsidR="00DE3993">
              <w:rPr>
                <w:sz w:val="20"/>
                <w:szCs w:val="20"/>
              </w:rPr>
              <w:t xml:space="preserve"> Arūnas Dulkys (2013),</w:t>
            </w:r>
            <w:r w:rsidRPr="00923767">
              <w:rPr>
                <w:sz w:val="20"/>
                <w:szCs w:val="20"/>
              </w:rPr>
              <w:t xml:space="preserve"> </w:t>
            </w:r>
            <w:r w:rsidR="00DE3993">
              <w:rPr>
                <w:sz w:val="20"/>
                <w:szCs w:val="20"/>
              </w:rPr>
              <w:t>"</w:t>
            </w:r>
            <w:r w:rsidRPr="00923767">
              <w:rPr>
                <w:sz w:val="20"/>
                <w:szCs w:val="20"/>
              </w:rPr>
              <w:t>Finansų krizė ir nauji sprendimai Europos Sąjungoje: mažos valstybės atvejis</w:t>
            </w:r>
            <w:r w:rsidR="00DE3993">
              <w:rPr>
                <w:sz w:val="20"/>
                <w:szCs w:val="20"/>
              </w:rPr>
              <w:t xml:space="preserve">", </w:t>
            </w:r>
            <w:r w:rsidRPr="00DE3993">
              <w:rPr>
                <w:i/>
                <w:sz w:val="20"/>
                <w:szCs w:val="20"/>
              </w:rPr>
              <w:t>Lietuvos metinė strateginė apžvalga</w:t>
            </w:r>
            <w:r w:rsidR="00DE3993">
              <w:rPr>
                <w:sz w:val="20"/>
                <w:szCs w:val="20"/>
              </w:rPr>
              <w:t xml:space="preserve">, </w:t>
            </w:r>
            <w:r w:rsidRPr="00923767">
              <w:rPr>
                <w:sz w:val="20"/>
                <w:szCs w:val="20"/>
              </w:rPr>
              <w:t>2012–2013</w:t>
            </w:r>
            <w:r w:rsidR="00DE3993">
              <w:rPr>
                <w:sz w:val="20"/>
                <w:szCs w:val="20"/>
              </w:rPr>
              <w:t xml:space="preserve">, </w:t>
            </w:r>
            <w:r w:rsidRPr="00923767">
              <w:rPr>
                <w:sz w:val="20"/>
                <w:szCs w:val="20"/>
              </w:rPr>
              <w:t xml:space="preserve"> 11 tomas</w:t>
            </w:r>
            <w:r w:rsidR="00DE3993">
              <w:rPr>
                <w:sz w:val="20"/>
                <w:szCs w:val="20"/>
              </w:rPr>
              <w:t>,  p</w:t>
            </w:r>
            <w:r w:rsidRPr="00923767">
              <w:rPr>
                <w:sz w:val="20"/>
                <w:szCs w:val="20"/>
              </w:rPr>
              <w:t>.117-140.</w:t>
            </w:r>
          </w:p>
          <w:p w:rsidR="00035920" w:rsidRPr="00923767" w:rsidRDefault="00035920" w:rsidP="00035920">
            <w:pPr>
              <w:ind w:left="224" w:hanging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Jonas </w:t>
            </w:r>
            <w:r w:rsidR="00DE3993">
              <w:rPr>
                <w:sz w:val="20"/>
                <w:szCs w:val="20"/>
              </w:rPr>
              <w:t>Čičinskas (2011), "</w:t>
            </w:r>
            <w:proofErr w:type="spellStart"/>
            <w:r w:rsidRPr="00923767">
              <w:rPr>
                <w:sz w:val="20"/>
                <w:szCs w:val="20"/>
              </w:rPr>
              <w:t>Is</w:t>
            </w:r>
            <w:proofErr w:type="spellEnd"/>
            <w:r w:rsidRPr="00923767">
              <w:rPr>
                <w:sz w:val="20"/>
                <w:szCs w:val="20"/>
              </w:rPr>
              <w:t xml:space="preserve"> </w:t>
            </w:r>
            <w:proofErr w:type="spellStart"/>
            <w:r w:rsidRPr="00923767">
              <w:rPr>
                <w:sz w:val="20"/>
                <w:szCs w:val="20"/>
              </w:rPr>
              <w:t>there</w:t>
            </w:r>
            <w:proofErr w:type="spellEnd"/>
            <w:r w:rsidRPr="00923767">
              <w:rPr>
                <w:sz w:val="20"/>
                <w:szCs w:val="20"/>
              </w:rPr>
              <w:t xml:space="preserve"> a </w:t>
            </w:r>
            <w:proofErr w:type="spellStart"/>
            <w:r w:rsidRPr="00923767">
              <w:rPr>
                <w:sz w:val="20"/>
                <w:szCs w:val="20"/>
              </w:rPr>
              <w:t>perspective</w:t>
            </w:r>
            <w:proofErr w:type="spellEnd"/>
            <w:r w:rsidRPr="00923767">
              <w:rPr>
                <w:sz w:val="20"/>
                <w:szCs w:val="20"/>
              </w:rPr>
              <w:t xml:space="preserve"> </w:t>
            </w:r>
            <w:proofErr w:type="spellStart"/>
            <w:r w:rsidRPr="00923767">
              <w:rPr>
                <w:sz w:val="20"/>
                <w:szCs w:val="20"/>
              </w:rPr>
              <w:t>for</w:t>
            </w:r>
            <w:proofErr w:type="spellEnd"/>
            <w:r w:rsidRPr="00923767">
              <w:rPr>
                <w:sz w:val="20"/>
                <w:szCs w:val="20"/>
              </w:rPr>
              <w:t xml:space="preserve"> a </w:t>
            </w:r>
            <w:proofErr w:type="spellStart"/>
            <w:r w:rsidRPr="00923767">
              <w:rPr>
                <w:sz w:val="20"/>
                <w:szCs w:val="20"/>
              </w:rPr>
              <w:t>new</w:t>
            </w:r>
            <w:proofErr w:type="spellEnd"/>
            <w:r w:rsidRPr="00923767">
              <w:rPr>
                <w:sz w:val="20"/>
                <w:szCs w:val="20"/>
              </w:rPr>
              <w:t xml:space="preserve"> </w:t>
            </w:r>
            <w:proofErr w:type="spellStart"/>
            <w:r w:rsidRPr="00923767">
              <w:rPr>
                <w:sz w:val="20"/>
                <w:szCs w:val="20"/>
              </w:rPr>
              <w:t>paradigm</w:t>
            </w:r>
            <w:proofErr w:type="spellEnd"/>
            <w:r w:rsidRPr="00923767">
              <w:rPr>
                <w:sz w:val="20"/>
                <w:szCs w:val="20"/>
              </w:rPr>
              <w:t xml:space="preserve"> </w:t>
            </w:r>
            <w:proofErr w:type="spellStart"/>
            <w:r w:rsidRPr="00923767">
              <w:rPr>
                <w:sz w:val="20"/>
                <w:szCs w:val="20"/>
              </w:rPr>
              <w:t>in</w:t>
            </w:r>
            <w:proofErr w:type="spellEnd"/>
            <w:r w:rsidRPr="00923767">
              <w:rPr>
                <w:sz w:val="20"/>
                <w:szCs w:val="20"/>
              </w:rPr>
              <w:t xml:space="preserve"> </w:t>
            </w:r>
            <w:proofErr w:type="spellStart"/>
            <w:r w:rsidRPr="00923767">
              <w:rPr>
                <w:sz w:val="20"/>
                <w:szCs w:val="20"/>
              </w:rPr>
              <w:t>economics</w:t>
            </w:r>
            <w:proofErr w:type="spellEnd"/>
            <w:r w:rsidRPr="00923767">
              <w:rPr>
                <w:sz w:val="20"/>
                <w:szCs w:val="20"/>
              </w:rPr>
              <w:t>?</w:t>
            </w:r>
            <w:r w:rsidR="00DE3993">
              <w:rPr>
                <w:sz w:val="20"/>
                <w:szCs w:val="20"/>
              </w:rPr>
              <w:t xml:space="preserve">", </w:t>
            </w:r>
            <w:r w:rsidRPr="00DE3993">
              <w:rPr>
                <w:i/>
                <w:sz w:val="20"/>
                <w:szCs w:val="20"/>
              </w:rPr>
              <w:t>Ekonomika</w:t>
            </w:r>
            <w:r w:rsidRPr="00923767">
              <w:rPr>
                <w:sz w:val="20"/>
                <w:szCs w:val="20"/>
              </w:rPr>
              <w:t>,</w:t>
            </w:r>
            <w:r w:rsidR="00DE3993">
              <w:rPr>
                <w:sz w:val="20"/>
                <w:szCs w:val="20"/>
              </w:rPr>
              <w:t xml:space="preserve"> </w:t>
            </w:r>
            <w:r w:rsidRPr="00923767">
              <w:rPr>
                <w:sz w:val="20"/>
                <w:szCs w:val="20"/>
              </w:rPr>
              <w:t xml:space="preserve"> </w:t>
            </w:r>
            <w:proofErr w:type="spellStart"/>
            <w:r w:rsidR="00DE3993">
              <w:rPr>
                <w:sz w:val="20"/>
                <w:szCs w:val="20"/>
              </w:rPr>
              <w:t>v</w:t>
            </w:r>
            <w:r w:rsidRPr="00923767">
              <w:rPr>
                <w:sz w:val="20"/>
                <w:szCs w:val="20"/>
              </w:rPr>
              <w:t>ol</w:t>
            </w:r>
            <w:proofErr w:type="spellEnd"/>
            <w:r w:rsidRPr="00923767">
              <w:rPr>
                <w:sz w:val="20"/>
                <w:szCs w:val="20"/>
              </w:rPr>
              <w:t>. 90 (4)</w:t>
            </w:r>
            <w:r w:rsidR="00DE3993">
              <w:rPr>
                <w:sz w:val="20"/>
                <w:szCs w:val="20"/>
              </w:rPr>
              <w:t xml:space="preserve">, p. </w:t>
            </w:r>
            <w:r w:rsidRPr="00923767">
              <w:rPr>
                <w:sz w:val="20"/>
                <w:szCs w:val="20"/>
              </w:rPr>
              <w:t>7-17.</w:t>
            </w:r>
          </w:p>
          <w:p w:rsidR="00035920" w:rsidRPr="00923767" w:rsidRDefault="00035920" w:rsidP="00035920">
            <w:pPr>
              <w:ind w:left="224" w:hanging="224"/>
              <w:rPr>
                <w:sz w:val="20"/>
                <w:szCs w:val="20"/>
              </w:rPr>
            </w:pPr>
            <w:r w:rsidRPr="00923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Jonas </w:t>
            </w:r>
            <w:r w:rsidRPr="00923767">
              <w:rPr>
                <w:sz w:val="20"/>
                <w:szCs w:val="20"/>
              </w:rPr>
              <w:t>Čičinskas</w:t>
            </w:r>
            <w:r w:rsidR="00DE3993">
              <w:rPr>
                <w:sz w:val="20"/>
                <w:szCs w:val="20"/>
              </w:rPr>
              <w:t xml:space="preserve"> (2011)., "</w:t>
            </w:r>
            <w:r w:rsidRPr="00923767">
              <w:rPr>
                <w:sz w:val="20"/>
                <w:szCs w:val="20"/>
              </w:rPr>
              <w:t>Absoliučių sprendimų beieškant. (Recenzija)</w:t>
            </w:r>
            <w:r w:rsidR="00DE3993">
              <w:rPr>
                <w:sz w:val="20"/>
                <w:szCs w:val="20"/>
              </w:rPr>
              <w:t xml:space="preserve">", </w:t>
            </w:r>
            <w:r w:rsidRPr="00DE3993">
              <w:rPr>
                <w:i/>
                <w:sz w:val="20"/>
                <w:szCs w:val="20"/>
              </w:rPr>
              <w:t>Politologija</w:t>
            </w:r>
            <w:r w:rsidRPr="00923767">
              <w:rPr>
                <w:sz w:val="20"/>
                <w:szCs w:val="20"/>
              </w:rPr>
              <w:t xml:space="preserve">, </w:t>
            </w:r>
            <w:r w:rsidR="00DE3993">
              <w:rPr>
                <w:sz w:val="20"/>
                <w:szCs w:val="20"/>
              </w:rPr>
              <w:t xml:space="preserve"> nr.3, p</w:t>
            </w:r>
            <w:r w:rsidRPr="00923767">
              <w:rPr>
                <w:sz w:val="20"/>
                <w:szCs w:val="20"/>
              </w:rPr>
              <w:t>.145-152.</w:t>
            </w:r>
          </w:p>
          <w:p w:rsidR="00035920" w:rsidRPr="00923767" w:rsidRDefault="00035920" w:rsidP="00035920">
            <w:pPr>
              <w:ind w:left="224" w:hanging="224"/>
              <w:rPr>
                <w:sz w:val="20"/>
                <w:szCs w:val="20"/>
              </w:rPr>
            </w:pPr>
            <w:r w:rsidRPr="00923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Jonas </w:t>
            </w:r>
            <w:r w:rsidRPr="00923767">
              <w:rPr>
                <w:sz w:val="20"/>
                <w:szCs w:val="20"/>
              </w:rPr>
              <w:t>Čičinskas</w:t>
            </w:r>
            <w:r w:rsidR="000647C0">
              <w:rPr>
                <w:sz w:val="20"/>
                <w:szCs w:val="20"/>
              </w:rPr>
              <w:t xml:space="preserve"> (2009),</w:t>
            </w:r>
            <w:r w:rsidRPr="00923767">
              <w:rPr>
                <w:sz w:val="20"/>
                <w:szCs w:val="20"/>
              </w:rPr>
              <w:t xml:space="preserve"> </w:t>
            </w:r>
            <w:r w:rsidR="000647C0">
              <w:rPr>
                <w:sz w:val="20"/>
                <w:szCs w:val="20"/>
              </w:rPr>
              <w:t>"</w:t>
            </w:r>
            <w:r w:rsidRPr="00923767">
              <w:rPr>
                <w:sz w:val="20"/>
                <w:szCs w:val="20"/>
              </w:rPr>
              <w:t>Kainų stabilumo kriterijus stojant į Ekonominę ir pinigų sąjungą: Li</w:t>
            </w:r>
            <w:r w:rsidR="000647C0">
              <w:rPr>
                <w:sz w:val="20"/>
                <w:szCs w:val="20"/>
              </w:rPr>
              <w:t xml:space="preserve">etuvos atvejis ir kitos pamokos" </w:t>
            </w:r>
            <w:proofErr w:type="spellStart"/>
            <w:r w:rsidR="000647C0">
              <w:rPr>
                <w:sz w:val="20"/>
                <w:szCs w:val="20"/>
              </w:rPr>
              <w:t>in</w:t>
            </w:r>
            <w:proofErr w:type="spellEnd"/>
            <w:r w:rsidR="000647C0">
              <w:rPr>
                <w:sz w:val="20"/>
                <w:szCs w:val="20"/>
              </w:rPr>
              <w:t xml:space="preserve"> </w:t>
            </w:r>
            <w:r w:rsidRPr="000647C0">
              <w:rPr>
                <w:i/>
                <w:sz w:val="20"/>
                <w:szCs w:val="20"/>
              </w:rPr>
              <w:t>Lietuva Europos Sąjungoje, Metraštis, 2004-2008</w:t>
            </w:r>
            <w:r w:rsidR="000647C0">
              <w:rPr>
                <w:sz w:val="20"/>
                <w:szCs w:val="20"/>
              </w:rPr>
              <w:t xml:space="preserve">, </w:t>
            </w:r>
            <w:r w:rsidRPr="00923767">
              <w:rPr>
                <w:sz w:val="20"/>
                <w:szCs w:val="20"/>
              </w:rPr>
              <w:t xml:space="preserve">Vilnius: </w:t>
            </w:r>
            <w:proofErr w:type="spellStart"/>
            <w:r w:rsidRPr="00923767">
              <w:rPr>
                <w:sz w:val="20"/>
                <w:szCs w:val="20"/>
              </w:rPr>
              <w:t>Eugrimas</w:t>
            </w:r>
            <w:proofErr w:type="spellEnd"/>
            <w:r w:rsidRPr="00923767">
              <w:rPr>
                <w:sz w:val="20"/>
                <w:szCs w:val="20"/>
              </w:rPr>
              <w:t>, p. 94-115.</w:t>
            </w:r>
          </w:p>
          <w:p w:rsidR="00035920" w:rsidRDefault="00035920" w:rsidP="00035920">
            <w:pPr>
              <w:ind w:left="224" w:hanging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Jonas Čičinskas (2009), </w:t>
            </w:r>
            <w:r w:rsidRPr="001B234A">
              <w:rPr>
                <w:i/>
                <w:sz w:val="20"/>
                <w:szCs w:val="20"/>
              </w:rPr>
              <w:t xml:space="preserve">Lietuvos ūkis kelyje į rytdieną. </w:t>
            </w:r>
            <w:r w:rsidR="00091029" w:rsidRPr="001B234A">
              <w:rPr>
                <w:i/>
                <w:sz w:val="20"/>
                <w:szCs w:val="20"/>
              </w:rPr>
              <w:t>Ekonominės politikos komentarai</w:t>
            </w:r>
            <w:r w:rsidRPr="00011EED">
              <w:rPr>
                <w:sz w:val="20"/>
                <w:szCs w:val="20"/>
              </w:rPr>
              <w:t xml:space="preserve"> </w:t>
            </w:r>
            <w:r w:rsidR="00091029">
              <w:rPr>
                <w:sz w:val="20"/>
                <w:szCs w:val="20"/>
              </w:rPr>
              <w:t xml:space="preserve">, </w:t>
            </w:r>
            <w:r w:rsidRPr="00011EED">
              <w:rPr>
                <w:sz w:val="20"/>
                <w:szCs w:val="20"/>
              </w:rPr>
              <w:t>V</w:t>
            </w:r>
            <w:r w:rsidR="00091029">
              <w:rPr>
                <w:sz w:val="20"/>
                <w:szCs w:val="20"/>
              </w:rPr>
              <w:t>ilnius</w:t>
            </w:r>
            <w:r w:rsidRPr="00011EED">
              <w:rPr>
                <w:sz w:val="20"/>
                <w:szCs w:val="20"/>
              </w:rPr>
              <w:t xml:space="preserve">: Vilniaus universiteto leidykla, 392 p. </w:t>
            </w:r>
          </w:p>
          <w:p w:rsidR="00011EED" w:rsidRPr="008606A9" w:rsidRDefault="00011EED" w:rsidP="00013EF0">
            <w:pPr>
              <w:ind w:left="224" w:hanging="224"/>
              <w:rPr>
                <w:sz w:val="20"/>
                <w:szCs w:val="20"/>
              </w:rPr>
            </w:pPr>
          </w:p>
        </w:tc>
      </w:tr>
      <w:tr w:rsidR="00384566" w:rsidRPr="00B603C4" w:rsidTr="003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Gediminas Vitkus 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566" w:rsidRPr="00B603C4" w:rsidRDefault="00B55058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r w:rsidR="00384566" w:rsidRPr="00B603C4">
              <w:rPr>
                <w:sz w:val="20"/>
                <w:szCs w:val="20"/>
              </w:rPr>
              <w:t xml:space="preserve">Dr. </w:t>
            </w:r>
          </w:p>
          <w:p w:rsidR="00384566" w:rsidRPr="00B603C4" w:rsidRDefault="00384566" w:rsidP="0032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84566" w:rsidRPr="00B603C4" w:rsidRDefault="00384566" w:rsidP="00321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B603C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6A9" w:rsidRPr="00013EF0" w:rsidRDefault="00AB5F97" w:rsidP="0032141B">
            <w:pPr>
              <w:ind w:left="224" w:hanging="224"/>
              <w:rPr>
                <w:sz w:val="20"/>
                <w:szCs w:val="20"/>
              </w:rPr>
            </w:pPr>
            <w:r w:rsidRPr="00013EF0">
              <w:rPr>
                <w:sz w:val="20"/>
                <w:szCs w:val="20"/>
              </w:rPr>
              <w:t xml:space="preserve">Gediminas Vitkus </w:t>
            </w:r>
            <w:r w:rsidR="008606A9" w:rsidRPr="00013EF0">
              <w:rPr>
                <w:sz w:val="20"/>
                <w:szCs w:val="20"/>
              </w:rPr>
              <w:t>(2014), “Sprendimų priėmimo proceso Europos Sąjungoje pokyčiai po Lisabonos sutarties įsigaliojimo”</w:t>
            </w:r>
            <w:r w:rsidR="008606A9" w:rsidRPr="00013E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06A9" w:rsidRPr="00013EF0">
              <w:rPr>
                <w:i/>
                <w:sz w:val="20"/>
                <w:szCs w:val="20"/>
              </w:rPr>
              <w:t>in</w:t>
            </w:r>
            <w:proofErr w:type="spellEnd"/>
            <w:r w:rsidR="008606A9" w:rsidRPr="00013EF0">
              <w:rPr>
                <w:sz w:val="20"/>
                <w:szCs w:val="20"/>
              </w:rPr>
              <w:t xml:space="preserve"> Europos integracijos studijų centras, </w:t>
            </w:r>
            <w:r w:rsidR="008606A9" w:rsidRPr="00013EF0">
              <w:rPr>
                <w:i/>
                <w:sz w:val="20"/>
                <w:szCs w:val="20"/>
              </w:rPr>
              <w:t>Lietuva Europos Sąjungoje: metraštis 2009-2013</w:t>
            </w:r>
            <w:r w:rsidR="008606A9" w:rsidRPr="00013EF0">
              <w:rPr>
                <w:sz w:val="20"/>
                <w:szCs w:val="20"/>
              </w:rPr>
              <w:t>, Vilnius, p. 33-60.</w:t>
            </w:r>
          </w:p>
          <w:p w:rsidR="001D7B37" w:rsidRPr="00013EF0" w:rsidRDefault="00AB5F97" w:rsidP="0032141B">
            <w:pPr>
              <w:ind w:left="224" w:hanging="224"/>
              <w:rPr>
                <w:sz w:val="20"/>
                <w:szCs w:val="20"/>
                <w:lang w:val="en-US"/>
              </w:rPr>
            </w:pPr>
            <w:r w:rsidRPr="00013EF0">
              <w:rPr>
                <w:sz w:val="20"/>
                <w:szCs w:val="20"/>
              </w:rPr>
              <w:t>Gediminas Vitkus</w:t>
            </w:r>
            <w:r w:rsidR="001D7B37" w:rsidRPr="00013EF0">
              <w:rPr>
                <w:sz w:val="20"/>
                <w:szCs w:val="20"/>
                <w:lang w:val="en-US"/>
              </w:rPr>
              <w:t xml:space="preserve"> (2013), “Lithuania in the U.S. Foreign and Security Policy: A Version of the WikiLeaks “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CableGate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” Archive” in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András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Rácz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, ed., </w:t>
            </w:r>
            <w:r w:rsidR="001D7B37" w:rsidRPr="00013EF0">
              <w:rPr>
                <w:i/>
                <w:sz w:val="20"/>
                <w:szCs w:val="20"/>
                <w:lang w:val="en-US"/>
              </w:rPr>
              <w:t xml:space="preserve">The WikiLeaks Cables and Their Impact on the </w:t>
            </w:r>
            <w:proofErr w:type="spellStart"/>
            <w:r w:rsidR="001D7B37" w:rsidRPr="00013EF0">
              <w:rPr>
                <w:i/>
                <w:sz w:val="20"/>
                <w:szCs w:val="20"/>
                <w:lang w:val="en-US"/>
              </w:rPr>
              <w:t>Visegrad</w:t>
            </w:r>
            <w:proofErr w:type="spellEnd"/>
            <w:r w:rsidR="001D7B37" w:rsidRPr="00013EF0">
              <w:rPr>
                <w:i/>
                <w:sz w:val="20"/>
                <w:szCs w:val="20"/>
                <w:lang w:val="en-US"/>
              </w:rPr>
              <w:t xml:space="preserve"> Countries and the Baltic States</w:t>
            </w:r>
            <w:r w:rsidR="001D7B37" w:rsidRPr="00013EF0">
              <w:rPr>
                <w:sz w:val="20"/>
                <w:szCs w:val="20"/>
                <w:lang w:val="en-US"/>
              </w:rPr>
              <w:t>, Budapest: Hungarian Institute of International A</w:t>
            </w:r>
            <w:r w:rsidR="001D7B37" w:rsidRPr="00013EF0">
              <w:rPr>
                <w:rFonts w:ascii="Cambria Math" w:hAnsi="Cambria Math" w:cs="Cambria Math"/>
                <w:sz w:val="20"/>
                <w:szCs w:val="20"/>
                <w:lang w:val="en-US"/>
              </w:rPr>
              <w:t>ﬀ</w:t>
            </w:r>
            <w:r w:rsidR="001D7B37" w:rsidRPr="00013EF0">
              <w:rPr>
                <w:sz w:val="20"/>
                <w:szCs w:val="20"/>
                <w:lang w:val="en-US"/>
              </w:rPr>
              <w:t>airs, p. 37-53.</w:t>
            </w:r>
          </w:p>
          <w:p w:rsidR="001D7B37" w:rsidRPr="00013EF0" w:rsidRDefault="00AB5F97" w:rsidP="0032141B">
            <w:pPr>
              <w:ind w:left="224" w:hanging="224"/>
              <w:rPr>
                <w:sz w:val="20"/>
                <w:szCs w:val="20"/>
                <w:lang w:val="en-US"/>
              </w:rPr>
            </w:pPr>
            <w:r w:rsidRPr="00013EF0">
              <w:rPr>
                <w:sz w:val="20"/>
                <w:szCs w:val="20"/>
              </w:rPr>
              <w:t>Gediminas Vitkus</w:t>
            </w:r>
            <w:r w:rsidR="001D7B37" w:rsidRPr="00013EF0">
              <w:rPr>
                <w:sz w:val="20"/>
                <w:szCs w:val="20"/>
                <w:lang w:val="en-US"/>
              </w:rPr>
              <w:t xml:space="preserve"> (2012), ‘Forest Brothers’ And The Consequences Of Metropole-Periphery Distinction Elimination In The ‘Correlates Of War’ Typology, Journal of Baltic Studies, vol. 43, no 4, p.  515-527.</w:t>
            </w:r>
          </w:p>
          <w:p w:rsidR="001D7B37" w:rsidRPr="00013EF0" w:rsidRDefault="00AB5F97" w:rsidP="0032141B">
            <w:pPr>
              <w:ind w:left="224" w:hanging="224"/>
              <w:rPr>
                <w:sz w:val="20"/>
                <w:szCs w:val="20"/>
                <w:lang w:val="en-US"/>
              </w:rPr>
            </w:pPr>
            <w:r w:rsidRPr="00013EF0">
              <w:rPr>
                <w:sz w:val="20"/>
                <w:szCs w:val="20"/>
              </w:rPr>
              <w:t>Gediminas Vitkus</w:t>
            </w:r>
            <w:r w:rsidR="001D7B37" w:rsidRPr="00013EF0">
              <w:rPr>
                <w:sz w:val="20"/>
                <w:szCs w:val="20"/>
                <w:lang w:val="en-US"/>
              </w:rPr>
              <w:t xml:space="preserve"> (2011), “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nacionalinė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kariavimo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patirtis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 „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Karo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koreliatų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“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duomenų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sz w:val="20"/>
                <w:szCs w:val="20"/>
                <w:lang w:val="en-US"/>
              </w:rPr>
              <w:t>rinkinyje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>”,</w:t>
            </w:r>
            <w:r w:rsidR="001D7B37" w:rsidRPr="00013EF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i/>
                <w:sz w:val="20"/>
                <w:szCs w:val="20"/>
                <w:lang w:val="en-US"/>
              </w:rPr>
              <w:t>Karo</w:t>
            </w:r>
            <w:proofErr w:type="spellEnd"/>
            <w:r w:rsidR="001D7B37" w:rsidRPr="00013EF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i/>
                <w:sz w:val="20"/>
                <w:szCs w:val="20"/>
                <w:lang w:val="en-US"/>
              </w:rPr>
              <w:t>archyvas</w:t>
            </w:r>
            <w:proofErr w:type="spellEnd"/>
            <w:r w:rsidR="001D7B37" w:rsidRPr="00013EF0">
              <w:rPr>
                <w:i/>
                <w:sz w:val="20"/>
                <w:szCs w:val="20"/>
                <w:lang w:val="en-US"/>
              </w:rPr>
              <w:t>,</w:t>
            </w:r>
            <w:r w:rsidR="001D7B37" w:rsidRPr="00013EF0">
              <w:rPr>
                <w:sz w:val="20"/>
                <w:szCs w:val="20"/>
                <w:lang w:val="en-US"/>
              </w:rPr>
              <w:t xml:space="preserve"> t. XXVI, p. 321-346, Résumé, p. 360-361, Summary, p. 373-374.</w:t>
            </w:r>
          </w:p>
          <w:p w:rsidR="00384566" w:rsidRPr="00013EF0" w:rsidRDefault="00AB5F97" w:rsidP="0032141B">
            <w:pPr>
              <w:ind w:left="224" w:hanging="224"/>
              <w:rPr>
                <w:sz w:val="20"/>
                <w:szCs w:val="20"/>
                <w:lang w:val="en-US"/>
              </w:rPr>
            </w:pPr>
            <w:r w:rsidRPr="00013EF0">
              <w:rPr>
                <w:sz w:val="20"/>
                <w:szCs w:val="20"/>
              </w:rPr>
              <w:t>Gediminas Vitkus</w:t>
            </w:r>
            <w:r w:rsidR="00384566" w:rsidRPr="00013EF0">
              <w:rPr>
                <w:sz w:val="20"/>
                <w:szCs w:val="20"/>
                <w:lang w:val="en-US"/>
              </w:rPr>
              <w:t xml:space="preserve"> (2009), "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Dabartinis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Europos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Sąjungos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ekonominės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ir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politinės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integracijos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etapas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kaip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spręsti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sendaikčio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dilemą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?", </w:t>
            </w:r>
            <w:proofErr w:type="spellStart"/>
            <w:r w:rsidR="00384566" w:rsidRPr="00013EF0">
              <w:rPr>
                <w:i/>
                <w:iCs/>
                <w:sz w:val="20"/>
                <w:szCs w:val="20"/>
                <w:lang w:val="en-US"/>
              </w:rPr>
              <w:t>Politologija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84566" w:rsidRPr="00013EF0">
              <w:rPr>
                <w:sz w:val="20"/>
                <w:szCs w:val="20"/>
                <w:lang w:val="en-US"/>
              </w:rPr>
              <w:t>nr</w:t>
            </w:r>
            <w:proofErr w:type="spellEnd"/>
            <w:r w:rsidR="00384566" w:rsidRPr="00013EF0">
              <w:rPr>
                <w:sz w:val="20"/>
                <w:szCs w:val="20"/>
                <w:lang w:val="en-US"/>
              </w:rPr>
              <w:t>. 3 (55), p. 3-29.</w:t>
            </w:r>
          </w:p>
          <w:p w:rsidR="00384566" w:rsidRDefault="00AB5F97" w:rsidP="00013EF0">
            <w:pPr>
              <w:ind w:left="224" w:hanging="224"/>
              <w:rPr>
                <w:sz w:val="20"/>
                <w:szCs w:val="20"/>
                <w:lang w:val="en-US"/>
              </w:rPr>
            </w:pPr>
            <w:r w:rsidRPr="00013EF0">
              <w:rPr>
                <w:sz w:val="20"/>
                <w:szCs w:val="20"/>
              </w:rPr>
              <w:t>Gediminas Vitkus</w:t>
            </w:r>
            <w:r w:rsidR="001D7B37" w:rsidRPr="00013EF0">
              <w:rPr>
                <w:sz w:val="20"/>
                <w:szCs w:val="20"/>
                <w:lang w:val="en-US"/>
              </w:rPr>
              <w:t xml:space="preserve"> (2009), “Russian Pipeline Diplomacy: A Lithuanian Response“, </w:t>
            </w:r>
            <w:proofErr w:type="spellStart"/>
            <w:r w:rsidR="001D7B37" w:rsidRPr="00013EF0">
              <w:rPr>
                <w:i/>
                <w:sz w:val="20"/>
                <w:szCs w:val="20"/>
                <w:lang w:val="en-US"/>
              </w:rPr>
              <w:t>Acta</w:t>
            </w:r>
            <w:proofErr w:type="spellEnd"/>
            <w:r w:rsidR="001D7B37" w:rsidRPr="00013EF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i/>
                <w:sz w:val="20"/>
                <w:szCs w:val="20"/>
                <w:lang w:val="en-US"/>
              </w:rPr>
              <w:t>Slavica</w:t>
            </w:r>
            <w:proofErr w:type="spellEnd"/>
            <w:r w:rsidR="001D7B37" w:rsidRPr="00013EF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B37" w:rsidRPr="00013EF0">
              <w:rPr>
                <w:i/>
                <w:sz w:val="20"/>
                <w:szCs w:val="20"/>
                <w:lang w:val="en-US"/>
              </w:rPr>
              <w:t>Iaponica</w:t>
            </w:r>
            <w:proofErr w:type="spellEnd"/>
            <w:r w:rsidR="001D7B37" w:rsidRPr="00013EF0">
              <w:rPr>
                <w:sz w:val="20"/>
                <w:szCs w:val="20"/>
                <w:lang w:val="en-US"/>
              </w:rPr>
              <w:t>, vol. 26, p. 25-46.</w:t>
            </w:r>
          </w:p>
          <w:p w:rsidR="00B46FD5" w:rsidRPr="00013EF0" w:rsidRDefault="00B46FD5" w:rsidP="00013EF0">
            <w:pPr>
              <w:ind w:left="224" w:hanging="224"/>
              <w:rPr>
                <w:sz w:val="20"/>
                <w:szCs w:val="20"/>
              </w:rPr>
            </w:pPr>
          </w:p>
        </w:tc>
      </w:tr>
      <w:tr w:rsidR="008C1676" w:rsidRPr="00B603C4" w:rsidTr="003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C1676" w:rsidRPr="00B603C4" w:rsidRDefault="008C1676" w:rsidP="004A0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Ramūnas Vilpišauskas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676" w:rsidRPr="00B603C4" w:rsidRDefault="008C1676" w:rsidP="009A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676" w:rsidRPr="00B603C4" w:rsidRDefault="008C1676" w:rsidP="009A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</w:t>
            </w:r>
          </w:p>
        </w:tc>
        <w:tc>
          <w:tcPr>
            <w:tcW w:w="525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  <w:lang w:val="en-US"/>
              </w:rPr>
            </w:pPr>
            <w:r w:rsidRPr="00E90BBE">
              <w:rPr>
                <w:sz w:val="20"/>
                <w:szCs w:val="20"/>
                <w:lang w:val="en-US"/>
              </w:rPr>
              <w:t xml:space="preserve">Ramūnas Vilpišauskas (2014), “Lithuania’s EU Council Presidency: Negotiating Finances, Dealing with Geopolitics”, </w:t>
            </w:r>
            <w:r w:rsidRPr="00E90BBE">
              <w:rPr>
                <w:i/>
                <w:sz w:val="20"/>
                <w:szCs w:val="20"/>
                <w:lang w:val="en-US"/>
              </w:rPr>
              <w:t>Journal of Common Market Studies</w:t>
            </w:r>
            <w:r w:rsidRPr="00E90BBE">
              <w:rPr>
                <w:sz w:val="20"/>
                <w:szCs w:val="20"/>
                <w:lang w:val="en-US"/>
              </w:rPr>
              <w:t>, vol. 52, Annual Review, p. 99-108.</w:t>
            </w:r>
          </w:p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  <w:lang w:val="en-US"/>
              </w:rPr>
            </w:pPr>
            <w:r w:rsidRPr="00E90BBE">
              <w:rPr>
                <w:sz w:val="20"/>
                <w:szCs w:val="20"/>
                <w:lang w:val="en-US"/>
              </w:rPr>
              <w:t xml:space="preserve">Ramūnas Vilpišauskas (2014), “Lithuania’s double transition after the re-establishment of independence in 1990: coping with uncertainty domestically and externally”, </w:t>
            </w:r>
            <w:r w:rsidRPr="00E90BBE">
              <w:rPr>
                <w:i/>
                <w:sz w:val="20"/>
                <w:szCs w:val="20"/>
                <w:lang w:val="en-US"/>
              </w:rPr>
              <w:t>Oxford Review of Economic Policy</w:t>
            </w:r>
            <w:r w:rsidR="00E90BBE" w:rsidRPr="00E90BBE">
              <w:rPr>
                <w:sz w:val="20"/>
                <w:szCs w:val="20"/>
                <w:lang w:val="en-US"/>
              </w:rPr>
              <w:t xml:space="preserve">, vol. 30, no. 2, </w:t>
            </w:r>
            <w:r w:rsidRPr="00E90BBE">
              <w:rPr>
                <w:sz w:val="20"/>
                <w:szCs w:val="20"/>
                <w:lang w:val="en-US"/>
              </w:rPr>
              <w:t>p.  223-236.</w:t>
            </w:r>
          </w:p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  <w:lang w:val="en-US"/>
              </w:rPr>
            </w:pPr>
            <w:r w:rsidRPr="00E90BBE">
              <w:rPr>
                <w:sz w:val="20"/>
                <w:szCs w:val="20"/>
                <w:lang w:val="en-US"/>
              </w:rPr>
              <w:t xml:space="preserve">Ramūnas Vilpišauskas (2014), “Die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litauische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Ratsprasidentschaft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 2013: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klein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effektiv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” (co-author), Integration,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Institut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 fur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Europaische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Politik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, 2/14, S. 123-138. </w:t>
            </w:r>
          </w:p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</w:rPr>
            </w:pPr>
            <w:r w:rsidRPr="00E90BBE">
              <w:rPr>
                <w:sz w:val="20"/>
                <w:szCs w:val="20"/>
              </w:rPr>
              <w:lastRenderedPageBreak/>
              <w:t xml:space="preserve">Ramūnas Vilpišauskas (2014),“Euro zonos krizė ir diferenciacija Europos Sąjungoje: grėsmė Sąjungos tikslams ar galimybė suderinti nacionalinius interesus?“, </w:t>
            </w:r>
            <w:r w:rsidRPr="00E90BBE">
              <w:rPr>
                <w:i/>
                <w:sz w:val="20"/>
                <w:szCs w:val="20"/>
              </w:rPr>
              <w:t>Lietuvos metinė strateginė apžvalga</w:t>
            </w:r>
            <w:r w:rsidRPr="00E90BBE">
              <w:rPr>
                <w:sz w:val="20"/>
                <w:szCs w:val="20"/>
              </w:rPr>
              <w:t xml:space="preserve">, </w:t>
            </w:r>
            <w:r w:rsidR="00E90BBE" w:rsidRPr="00E90BBE">
              <w:rPr>
                <w:sz w:val="20"/>
                <w:szCs w:val="20"/>
              </w:rPr>
              <w:t xml:space="preserve">2013-2014, </w:t>
            </w:r>
            <w:r w:rsidRPr="00E90BBE">
              <w:rPr>
                <w:sz w:val="20"/>
                <w:szCs w:val="20"/>
              </w:rPr>
              <w:t>t. 12, p. 73-86;</w:t>
            </w:r>
          </w:p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  <w:lang w:val="en-US"/>
              </w:rPr>
            </w:pPr>
            <w:r w:rsidRPr="00E90BBE">
              <w:rPr>
                <w:sz w:val="20"/>
                <w:szCs w:val="20"/>
                <w:lang w:val="en-US"/>
              </w:rPr>
              <w:t>Ramūnas Vilpišauskas (2014), „The politics of reacting to the crisis in Lithuania from 2008 to 2013: exiting the crisis, entering politics as usual</w:t>
            </w:r>
            <w:proofErr w:type="gramStart"/>
            <w:r w:rsidRPr="00E90BBE">
              <w:rPr>
                <w:sz w:val="20"/>
                <w:szCs w:val="20"/>
                <w:lang w:val="en-US"/>
              </w:rPr>
              <w:t>?“</w:t>
            </w:r>
            <w:proofErr w:type="gramEnd"/>
            <w:r w:rsidRPr="00E90BBE">
              <w:rPr>
                <w:sz w:val="20"/>
                <w:szCs w:val="20"/>
                <w:lang w:val="en-US"/>
              </w:rPr>
              <w:t xml:space="preserve"> (co-author), in </w:t>
            </w:r>
            <w:r w:rsidRPr="00E90BBE">
              <w:rPr>
                <w:i/>
                <w:sz w:val="20"/>
                <w:szCs w:val="20"/>
                <w:lang w:val="en-US"/>
              </w:rPr>
              <w:t xml:space="preserve">The Politics of Economic Sustainability: Baltic and </w:t>
            </w:r>
            <w:proofErr w:type="spellStart"/>
            <w:r w:rsidRPr="00E90BBE">
              <w:rPr>
                <w:i/>
                <w:sz w:val="20"/>
                <w:szCs w:val="20"/>
                <w:lang w:val="en-US"/>
              </w:rPr>
              <w:t>Visegrad</w:t>
            </w:r>
            <w:proofErr w:type="spellEnd"/>
            <w:r w:rsidRPr="00E90BBE">
              <w:rPr>
                <w:i/>
                <w:sz w:val="20"/>
                <w:szCs w:val="20"/>
                <w:lang w:val="en-US"/>
              </w:rPr>
              <w:t xml:space="preserve"> Reponses to the Economic Crisis</w:t>
            </w:r>
            <w:r w:rsidRPr="00E90BBE">
              <w:rPr>
                <w:sz w:val="20"/>
                <w:szCs w:val="20"/>
                <w:lang w:val="en-US"/>
              </w:rPr>
              <w:t xml:space="preserve">, K.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Bukovskis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 (ed.), Riga: LIIA, p. 38-63;</w:t>
            </w:r>
          </w:p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  <w:lang w:val="en-US"/>
              </w:rPr>
            </w:pPr>
            <w:r w:rsidRPr="00E90BBE">
              <w:rPr>
                <w:sz w:val="20"/>
                <w:szCs w:val="20"/>
                <w:lang w:val="en-US"/>
              </w:rPr>
              <w:t xml:space="preserve">Ramūnas Vilpišauskas (2014), „Parliamentary scrutiny of EU affairs in Lithuania: the dog that rarely barks“, in </w:t>
            </w:r>
            <w:r w:rsidRPr="00E90BBE">
              <w:rPr>
                <w:i/>
                <w:sz w:val="20"/>
                <w:szCs w:val="20"/>
                <w:lang w:val="en-US"/>
              </w:rPr>
              <w:t>Palgrave Handbook of National Parliaments and the European Unio</w:t>
            </w:r>
            <w:r w:rsidRPr="00E90BBE">
              <w:rPr>
                <w:sz w:val="20"/>
                <w:szCs w:val="20"/>
                <w:lang w:val="en-US"/>
              </w:rPr>
              <w:t xml:space="preserve">n, C.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Hefftler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, Ch.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Neuhold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 xml:space="preserve">, O. </w:t>
            </w:r>
            <w:proofErr w:type="spellStart"/>
            <w:r w:rsidRPr="00E90BBE">
              <w:rPr>
                <w:sz w:val="20"/>
                <w:szCs w:val="20"/>
                <w:lang w:val="en-US"/>
              </w:rPr>
              <w:t>Resenberg</w:t>
            </w:r>
            <w:proofErr w:type="spellEnd"/>
            <w:r w:rsidRPr="00E90BBE">
              <w:rPr>
                <w:sz w:val="20"/>
                <w:szCs w:val="20"/>
                <w:lang w:val="en-US"/>
              </w:rPr>
              <w:t>, J. Smith, (eds.), Basingstoke: Palgrave McMillan.</w:t>
            </w:r>
          </w:p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  <w:lang w:val="en-US"/>
              </w:rPr>
            </w:pPr>
            <w:r w:rsidRPr="00E90BBE">
              <w:rPr>
                <w:sz w:val="20"/>
                <w:szCs w:val="20"/>
                <w:lang w:val="en-US"/>
              </w:rPr>
              <w:t xml:space="preserve">Ramūnas Vilpišauskas (2013),”Lithuanian Foreign Policy Since EU accession. Torn between history and interdependence”, in </w:t>
            </w:r>
            <w:r w:rsidRPr="00E90BBE">
              <w:rPr>
                <w:i/>
                <w:sz w:val="20"/>
                <w:szCs w:val="20"/>
                <w:lang w:val="en-US"/>
              </w:rPr>
              <w:t>The New Member States and the European Union. Foreign Policy and Europeanization</w:t>
            </w:r>
            <w:r w:rsidRPr="00E90BBE">
              <w:rPr>
                <w:sz w:val="20"/>
                <w:szCs w:val="20"/>
                <w:lang w:val="en-US"/>
              </w:rPr>
              <w:t>, M. Braun, D. Marek (ed.), London: Palgrave, p. 127-142;</w:t>
            </w:r>
          </w:p>
          <w:p w:rsidR="008C1676" w:rsidRPr="00E90BBE" w:rsidRDefault="008C1676" w:rsidP="002A6855">
            <w:pPr>
              <w:ind w:left="200" w:hanging="141"/>
              <w:rPr>
                <w:sz w:val="20"/>
                <w:szCs w:val="20"/>
                <w:lang w:val="en-US"/>
              </w:rPr>
            </w:pPr>
            <w:r w:rsidRPr="00E90BBE">
              <w:rPr>
                <w:sz w:val="20"/>
                <w:szCs w:val="20"/>
                <w:lang w:val="en-US"/>
              </w:rPr>
              <w:t>Ramūnas Vilpišauskas (2013), “Eurozone Crisis and European Integration: Functional Spillover, Political Spillback?</w:t>
            </w:r>
            <w:proofErr w:type="gramStart"/>
            <w:r w:rsidRPr="00E90BBE">
              <w:rPr>
                <w:sz w:val="20"/>
                <w:szCs w:val="20"/>
                <w:lang w:val="en-US"/>
              </w:rPr>
              <w:t>”,</w:t>
            </w:r>
            <w:proofErr w:type="gramEnd"/>
            <w:r w:rsidRPr="00E90BBE">
              <w:rPr>
                <w:sz w:val="20"/>
                <w:szCs w:val="20"/>
                <w:lang w:val="en-US"/>
              </w:rPr>
              <w:t xml:space="preserve"> </w:t>
            </w:r>
            <w:r w:rsidRPr="00E90BBE">
              <w:rPr>
                <w:i/>
                <w:sz w:val="20"/>
                <w:szCs w:val="20"/>
                <w:lang w:val="en-US"/>
              </w:rPr>
              <w:t>Journal of European Integration</w:t>
            </w:r>
            <w:r w:rsidRPr="00E90BBE">
              <w:rPr>
                <w:sz w:val="20"/>
                <w:szCs w:val="20"/>
                <w:lang w:val="en-US"/>
              </w:rPr>
              <w:t>, vol. 35, no. 3, p. 361-373.</w:t>
            </w:r>
          </w:p>
          <w:p w:rsidR="008C1676" w:rsidRPr="00013EF0" w:rsidRDefault="008C1676" w:rsidP="002A6855">
            <w:pPr>
              <w:ind w:left="200" w:hanging="141"/>
              <w:rPr>
                <w:sz w:val="20"/>
                <w:szCs w:val="20"/>
              </w:rPr>
            </w:pPr>
          </w:p>
        </w:tc>
      </w:tr>
      <w:tr w:rsidR="008C1676" w:rsidRPr="00B603C4" w:rsidTr="003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38" w:type="dxa"/>
            <w:tcBorders>
              <w:top w:val="single" w:sz="4" w:space="0" w:color="auto"/>
              <w:left w:val="single" w:sz="12" w:space="0" w:color="auto"/>
            </w:tcBorders>
          </w:tcPr>
          <w:p w:rsidR="008C1676" w:rsidRPr="00B603C4" w:rsidRDefault="008C1676" w:rsidP="003214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676" w:rsidRPr="00B603C4" w:rsidRDefault="008C1676" w:rsidP="0032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8C1676" w:rsidRPr="00B603C4" w:rsidRDefault="008C1676" w:rsidP="0032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1676" w:rsidRPr="00B603C4" w:rsidRDefault="008C1676" w:rsidP="001B21CA">
            <w:pPr>
              <w:ind w:left="224" w:hanging="224"/>
              <w:rPr>
                <w:sz w:val="20"/>
                <w:szCs w:val="20"/>
              </w:rPr>
            </w:pPr>
          </w:p>
        </w:tc>
      </w:tr>
      <w:tr w:rsidR="008C1676" w:rsidRPr="00B603C4" w:rsidTr="0032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9"/>
          </w:tcPr>
          <w:p w:rsidR="008C1676" w:rsidRPr="00B603C4" w:rsidRDefault="008C1676" w:rsidP="008C1676">
            <w:pPr>
              <w:spacing w:before="120" w:after="120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Patvirtinta TSPMI taryboje </w:t>
            </w:r>
            <w:r>
              <w:rPr>
                <w:sz w:val="20"/>
                <w:szCs w:val="20"/>
              </w:rPr>
              <w:t xml:space="preserve"> </w:t>
            </w:r>
            <w:r w:rsidR="000926BA">
              <w:rPr>
                <w:sz w:val="20"/>
                <w:szCs w:val="20"/>
              </w:rPr>
              <w:t>2014-10-15, protokolo Nr. T-2014-13</w:t>
            </w:r>
          </w:p>
        </w:tc>
      </w:tr>
    </w:tbl>
    <w:p w:rsidR="00384566" w:rsidRPr="00B603C4" w:rsidRDefault="00384566" w:rsidP="00384566">
      <w:pPr>
        <w:rPr>
          <w:sz w:val="20"/>
          <w:szCs w:val="20"/>
        </w:rPr>
      </w:pPr>
    </w:p>
    <w:p w:rsidR="00440619" w:rsidRDefault="00BA3D5C"/>
    <w:sectPr w:rsidR="0044061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A6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EAC2B6A"/>
    <w:multiLevelType w:val="hybridMultilevel"/>
    <w:tmpl w:val="A6D26544"/>
    <w:lvl w:ilvl="0" w:tplc="F53495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3B9"/>
    <w:multiLevelType w:val="hybridMultilevel"/>
    <w:tmpl w:val="6E146420"/>
    <w:lvl w:ilvl="0" w:tplc="F53495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61F67"/>
    <w:multiLevelType w:val="hybridMultilevel"/>
    <w:tmpl w:val="B66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1E61"/>
    <w:multiLevelType w:val="hybridMultilevel"/>
    <w:tmpl w:val="3A9A8FDA"/>
    <w:lvl w:ilvl="0" w:tplc="F53495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4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71745E"/>
    <w:multiLevelType w:val="hybridMultilevel"/>
    <w:tmpl w:val="15A60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7735D"/>
    <w:multiLevelType w:val="hybridMultilevel"/>
    <w:tmpl w:val="1DBC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6"/>
    <w:rsid w:val="00011EED"/>
    <w:rsid w:val="00013EF0"/>
    <w:rsid w:val="00035920"/>
    <w:rsid w:val="000647C0"/>
    <w:rsid w:val="00082078"/>
    <w:rsid w:val="00091029"/>
    <w:rsid w:val="000926BA"/>
    <w:rsid w:val="000A44CF"/>
    <w:rsid w:val="00155D79"/>
    <w:rsid w:val="001A279A"/>
    <w:rsid w:val="001B21CA"/>
    <w:rsid w:val="001B234A"/>
    <w:rsid w:val="001D7B37"/>
    <w:rsid w:val="00267572"/>
    <w:rsid w:val="002C072C"/>
    <w:rsid w:val="00337A4A"/>
    <w:rsid w:val="00384566"/>
    <w:rsid w:val="004D5691"/>
    <w:rsid w:val="006B7EAE"/>
    <w:rsid w:val="006D690D"/>
    <w:rsid w:val="006E7E91"/>
    <w:rsid w:val="007D07DF"/>
    <w:rsid w:val="00821A68"/>
    <w:rsid w:val="008606A9"/>
    <w:rsid w:val="00877596"/>
    <w:rsid w:val="00892EB8"/>
    <w:rsid w:val="008C1676"/>
    <w:rsid w:val="008C4FFA"/>
    <w:rsid w:val="00913902"/>
    <w:rsid w:val="009556CF"/>
    <w:rsid w:val="0098450F"/>
    <w:rsid w:val="00A17A0F"/>
    <w:rsid w:val="00A524C8"/>
    <w:rsid w:val="00AB5F97"/>
    <w:rsid w:val="00B46FD5"/>
    <w:rsid w:val="00B55058"/>
    <w:rsid w:val="00BA3D5C"/>
    <w:rsid w:val="00C07BFB"/>
    <w:rsid w:val="00C879FC"/>
    <w:rsid w:val="00D04E6A"/>
    <w:rsid w:val="00D43DC2"/>
    <w:rsid w:val="00DE3993"/>
    <w:rsid w:val="00E86CB9"/>
    <w:rsid w:val="00E90BBE"/>
    <w:rsid w:val="00F1490F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566"/>
    <w:rPr>
      <w:color w:val="0000FF"/>
      <w:u w:val="single"/>
    </w:rPr>
  </w:style>
  <w:style w:type="paragraph" w:styleId="NormalWeb">
    <w:name w:val="Normal (Web)"/>
    <w:basedOn w:val="Normal"/>
    <w:rsid w:val="001B21CA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1B2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21C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821A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566"/>
    <w:rPr>
      <w:color w:val="0000FF"/>
      <w:u w:val="single"/>
    </w:rPr>
  </w:style>
  <w:style w:type="paragraph" w:styleId="NormalWeb">
    <w:name w:val="Normal (Web)"/>
    <w:basedOn w:val="Normal"/>
    <w:rsid w:val="001B21CA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1B2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21C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821A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7386-A944-4706-A6F9-1595FB95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4654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TSPMI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Vilius</cp:lastModifiedBy>
  <cp:revision>2</cp:revision>
  <dcterms:created xsi:type="dcterms:W3CDTF">2017-08-28T11:27:00Z</dcterms:created>
  <dcterms:modified xsi:type="dcterms:W3CDTF">2017-08-28T11:27:00Z</dcterms:modified>
</cp:coreProperties>
</file>