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AA" w:rsidRPr="00B603C4" w:rsidRDefault="00C731AA" w:rsidP="00C731AA">
      <w:pPr>
        <w:rPr>
          <w:sz w:val="20"/>
          <w:szCs w:val="20"/>
        </w:rPr>
      </w:pPr>
    </w:p>
    <w:tbl>
      <w:tblPr>
        <w:tblW w:w="1020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960"/>
        <w:gridCol w:w="120"/>
        <w:gridCol w:w="840"/>
        <w:gridCol w:w="936"/>
        <w:gridCol w:w="851"/>
        <w:gridCol w:w="1813"/>
        <w:gridCol w:w="2280"/>
      </w:tblGrid>
      <w:tr w:rsidR="00C731AA" w:rsidRPr="00B603C4" w:rsidTr="0032141B">
        <w:tc>
          <w:tcPr>
            <w:tcW w:w="3480" w:type="dxa"/>
            <w:gridSpan w:val="3"/>
            <w:shd w:val="clear" w:color="auto" w:fill="auto"/>
            <w:vAlign w:val="center"/>
          </w:tcPr>
          <w:p w:rsidR="00C731AA" w:rsidRPr="00B603C4" w:rsidRDefault="00C731AA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Dalyko pavadinimas</w:t>
            </w:r>
          </w:p>
        </w:tc>
        <w:tc>
          <w:tcPr>
            <w:tcW w:w="2627" w:type="dxa"/>
            <w:gridSpan w:val="3"/>
            <w:shd w:val="clear" w:color="auto" w:fill="auto"/>
            <w:vAlign w:val="center"/>
          </w:tcPr>
          <w:p w:rsidR="00C731AA" w:rsidRPr="00B603C4" w:rsidRDefault="00C731AA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Mokslo kryptis (šaka)</w:t>
            </w:r>
          </w:p>
          <w:p w:rsidR="00C731AA" w:rsidRPr="00B603C4" w:rsidRDefault="00C731AA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Kodas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C731AA" w:rsidRPr="00B603C4" w:rsidRDefault="00C731AA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Fakultetas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731AA" w:rsidRPr="00B603C4" w:rsidRDefault="00C731AA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Katedra</w:t>
            </w:r>
          </w:p>
        </w:tc>
      </w:tr>
      <w:tr w:rsidR="00C731AA" w:rsidRPr="00B603C4" w:rsidTr="0032141B">
        <w:trPr>
          <w:trHeight w:val="780"/>
        </w:trPr>
        <w:tc>
          <w:tcPr>
            <w:tcW w:w="3480" w:type="dxa"/>
            <w:gridSpan w:val="3"/>
            <w:shd w:val="clear" w:color="auto" w:fill="auto"/>
            <w:vAlign w:val="center"/>
          </w:tcPr>
          <w:p w:rsidR="00C731AA" w:rsidRPr="00B603C4" w:rsidRDefault="00C731AA" w:rsidP="0032141B">
            <w:pPr>
              <w:rPr>
                <w:b/>
                <w:sz w:val="20"/>
                <w:szCs w:val="20"/>
              </w:rPr>
            </w:pPr>
            <w:r w:rsidRPr="00B603C4">
              <w:rPr>
                <w:b/>
                <w:sz w:val="20"/>
                <w:szCs w:val="20"/>
              </w:rPr>
              <w:t xml:space="preserve">Viešoji politika ir administravimas  </w:t>
            </w:r>
          </w:p>
        </w:tc>
        <w:tc>
          <w:tcPr>
            <w:tcW w:w="2627" w:type="dxa"/>
            <w:gridSpan w:val="3"/>
            <w:shd w:val="clear" w:color="auto" w:fill="auto"/>
            <w:vAlign w:val="center"/>
          </w:tcPr>
          <w:p w:rsidR="00C731AA" w:rsidRPr="00B603C4" w:rsidRDefault="00C731AA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Politikos mokslai 02S  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C731AA" w:rsidRPr="00B603C4" w:rsidRDefault="00C731AA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TSPMI 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C731AA" w:rsidRPr="00B603C4" w:rsidRDefault="00C731AA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Europos studijų </w:t>
            </w:r>
          </w:p>
        </w:tc>
      </w:tr>
      <w:tr w:rsidR="00C731AA" w:rsidRPr="00B603C4" w:rsidTr="0032141B">
        <w:tblPrEx>
          <w:tblBorders>
            <w:insideH w:val="single" w:sz="6" w:space="0" w:color="auto"/>
          </w:tblBorders>
        </w:tblPrEx>
        <w:tc>
          <w:tcPr>
            <w:tcW w:w="3480" w:type="dxa"/>
            <w:gridSpan w:val="3"/>
            <w:tcBorders>
              <w:top w:val="single" w:sz="12" w:space="0" w:color="auto"/>
              <w:bottom w:val="nil"/>
            </w:tcBorders>
          </w:tcPr>
          <w:p w:rsidR="00C731AA" w:rsidRPr="00B603C4" w:rsidRDefault="00C731AA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Studijų būdas</w:t>
            </w:r>
          </w:p>
        </w:tc>
        <w:tc>
          <w:tcPr>
            <w:tcW w:w="1776" w:type="dxa"/>
            <w:gridSpan w:val="2"/>
            <w:tcBorders>
              <w:top w:val="single" w:sz="12" w:space="0" w:color="auto"/>
              <w:bottom w:val="nil"/>
            </w:tcBorders>
          </w:tcPr>
          <w:p w:rsidR="00C731AA" w:rsidRPr="00B603C4" w:rsidRDefault="00C731AA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Kreditų skaičius</w:t>
            </w:r>
          </w:p>
        </w:tc>
        <w:tc>
          <w:tcPr>
            <w:tcW w:w="2664" w:type="dxa"/>
            <w:gridSpan w:val="2"/>
            <w:tcBorders>
              <w:top w:val="single" w:sz="12" w:space="0" w:color="auto"/>
              <w:bottom w:val="nil"/>
            </w:tcBorders>
          </w:tcPr>
          <w:p w:rsidR="00C731AA" w:rsidRPr="00B603C4" w:rsidRDefault="00C731AA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Studijų būdas</w:t>
            </w:r>
          </w:p>
        </w:tc>
        <w:tc>
          <w:tcPr>
            <w:tcW w:w="2280" w:type="dxa"/>
            <w:tcBorders>
              <w:top w:val="single" w:sz="12" w:space="0" w:color="auto"/>
              <w:bottom w:val="nil"/>
            </w:tcBorders>
          </w:tcPr>
          <w:p w:rsidR="00C731AA" w:rsidRPr="00B603C4" w:rsidRDefault="00C731AA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Kreditų skaičius</w:t>
            </w:r>
          </w:p>
        </w:tc>
      </w:tr>
      <w:tr w:rsidR="00C731AA" w:rsidRPr="00B603C4" w:rsidTr="0032141B">
        <w:tblPrEx>
          <w:tblBorders>
            <w:insideH w:val="single" w:sz="6" w:space="0" w:color="auto"/>
          </w:tblBorders>
        </w:tblPrEx>
        <w:tc>
          <w:tcPr>
            <w:tcW w:w="3480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C731AA" w:rsidRPr="00B603C4" w:rsidRDefault="00C731AA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Paskaitos</w:t>
            </w:r>
          </w:p>
        </w:tc>
        <w:tc>
          <w:tcPr>
            <w:tcW w:w="1776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731AA" w:rsidRPr="00B603C4" w:rsidRDefault="00C731AA" w:rsidP="0032141B">
            <w:pPr>
              <w:jc w:val="center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-</w:t>
            </w:r>
          </w:p>
        </w:tc>
        <w:tc>
          <w:tcPr>
            <w:tcW w:w="266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731AA" w:rsidRPr="00B603C4" w:rsidRDefault="00C731AA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Konsultacijos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6" w:space="0" w:color="auto"/>
            </w:tcBorders>
          </w:tcPr>
          <w:p w:rsidR="00C731AA" w:rsidRPr="00B603C4" w:rsidRDefault="00C731AA" w:rsidP="00321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731AA" w:rsidRPr="00B603C4" w:rsidTr="0032141B">
        <w:tblPrEx>
          <w:tblBorders>
            <w:insideH w:val="single" w:sz="6" w:space="0" w:color="auto"/>
          </w:tblBorders>
        </w:tblPrEx>
        <w:tc>
          <w:tcPr>
            <w:tcW w:w="348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C731AA" w:rsidRPr="00B603C4" w:rsidRDefault="00C731AA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Individualus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731AA" w:rsidRPr="00B603C4" w:rsidRDefault="00C731AA" w:rsidP="00321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731AA" w:rsidRPr="00B603C4" w:rsidRDefault="00C731AA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Seminarai/kolokviumas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12" w:space="0" w:color="auto"/>
            </w:tcBorders>
          </w:tcPr>
          <w:p w:rsidR="00C731AA" w:rsidRPr="00B603C4" w:rsidRDefault="00C731AA" w:rsidP="00321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731AA" w:rsidRPr="00B603C4" w:rsidTr="0032141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0" w:type="dxa"/>
            <w:gridSpan w:val="8"/>
            <w:tcBorders>
              <w:top w:val="single" w:sz="12" w:space="0" w:color="auto"/>
              <w:bottom w:val="double" w:sz="4" w:space="0" w:color="auto"/>
            </w:tcBorders>
          </w:tcPr>
          <w:p w:rsidR="00C731AA" w:rsidRPr="00B603C4" w:rsidRDefault="00C731AA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Dalyko anotacija</w:t>
            </w:r>
          </w:p>
        </w:tc>
      </w:tr>
      <w:tr w:rsidR="00C731AA" w:rsidRPr="00B603C4" w:rsidTr="0032141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0" w:type="dxa"/>
            <w:gridSpan w:val="8"/>
            <w:tcBorders>
              <w:top w:val="double" w:sz="4" w:space="0" w:color="auto"/>
              <w:bottom w:val="single" w:sz="12" w:space="0" w:color="auto"/>
            </w:tcBorders>
          </w:tcPr>
          <w:p w:rsidR="00C731AA" w:rsidRPr="00B603C4" w:rsidRDefault="00C731AA" w:rsidP="0032141B">
            <w:pPr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Viešoji politika ir administravimas – tai </w:t>
            </w:r>
            <w:bookmarkStart w:id="0" w:name="_GoBack"/>
            <w:r w:rsidRPr="00B603C4">
              <w:rPr>
                <w:sz w:val="20"/>
                <w:szCs w:val="20"/>
              </w:rPr>
              <w:t>pasirenkamas doktorantūros studijų kursas, skirtas viešosios politikos ir administravimo analizei.</w:t>
            </w:r>
            <w:bookmarkEnd w:id="0"/>
            <w:r w:rsidRPr="00B603C4">
              <w:rPr>
                <w:sz w:val="20"/>
                <w:szCs w:val="20"/>
              </w:rPr>
              <w:t xml:space="preserve"> Didžiausias dėmesys skiriamas viešosios politikos ir viešojo administravimo teorijoms, modeliams, požiūriams ir analizės pagrindams. </w:t>
            </w:r>
          </w:p>
          <w:p w:rsidR="00C731AA" w:rsidRPr="00B603C4" w:rsidRDefault="00C731AA" w:rsidP="0032141B">
            <w:pPr>
              <w:jc w:val="both"/>
              <w:rPr>
                <w:sz w:val="20"/>
                <w:szCs w:val="20"/>
              </w:rPr>
            </w:pPr>
          </w:p>
          <w:p w:rsidR="00C731AA" w:rsidRPr="00B603C4" w:rsidRDefault="00C731AA" w:rsidP="0032141B">
            <w:pPr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Pagrindinės temos: </w:t>
            </w:r>
          </w:p>
          <w:p w:rsidR="00C731AA" w:rsidRPr="00B603C4" w:rsidRDefault="00C731AA" w:rsidP="00C731A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viešosios politikos teorijos, modeliai, požiūriai, analizės pagrindai (rinkos ir politinis požiūriai, privataus ir viešojo sektorių valdymo ypatumai, atskirų viešosios politikos etapų analizės pagrindai bei tokios naujosios teorijos kaip </w:t>
            </w:r>
            <w:proofErr w:type="spellStart"/>
            <w:r w:rsidRPr="00B603C4">
              <w:rPr>
                <w:sz w:val="20"/>
                <w:szCs w:val="20"/>
              </w:rPr>
              <w:t>Sabatier</w:t>
            </w:r>
            <w:proofErr w:type="spellEnd"/>
            <w:r w:rsidRPr="00B603C4">
              <w:rPr>
                <w:sz w:val="20"/>
                <w:szCs w:val="20"/>
              </w:rPr>
              <w:t xml:space="preserve"> palaikymo koalicijų pagrindas); </w:t>
            </w:r>
          </w:p>
          <w:p w:rsidR="00C731AA" w:rsidRPr="00B603C4" w:rsidRDefault="00C731AA" w:rsidP="00C731AA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viešojo administravimo politikos teorijos, modeliai, požiūriai, analizės pagrindai (viešojo administravimo požiūriai valstybės teorijose, </w:t>
            </w:r>
            <w:r>
              <w:rPr>
                <w:sz w:val="20"/>
                <w:szCs w:val="20"/>
              </w:rPr>
              <w:t xml:space="preserve">tradicinis, NVV ir </w:t>
            </w:r>
            <w:r w:rsidRPr="00B603C4">
              <w:rPr>
                <w:sz w:val="20"/>
                <w:szCs w:val="20"/>
              </w:rPr>
              <w:t xml:space="preserve"> valdysena (</w:t>
            </w:r>
            <w:proofErr w:type="spellStart"/>
            <w:r w:rsidRPr="00B603C4">
              <w:rPr>
                <w:sz w:val="20"/>
                <w:szCs w:val="20"/>
              </w:rPr>
              <w:t>governance</w:t>
            </w:r>
            <w:proofErr w:type="spellEnd"/>
            <w:r w:rsidRPr="00B603C4">
              <w:rPr>
                <w:sz w:val="20"/>
                <w:szCs w:val="20"/>
              </w:rPr>
              <w:t xml:space="preserve">), taip pat žemesnio lygmens požiūriai ir analizės pagrindai tokiose viešojo administravimo srityse kaip viešojo sektoriaus organizacijos, biudžetas ir veiklos valdymas, žmogiškųjų išteklių valdymas, valstybės tarnautojų ir politikų santykis, t.t.).  </w:t>
            </w:r>
          </w:p>
          <w:p w:rsidR="00C731AA" w:rsidRPr="00B603C4" w:rsidRDefault="00C731AA" w:rsidP="0032141B">
            <w:pPr>
              <w:jc w:val="both"/>
              <w:rPr>
                <w:sz w:val="20"/>
                <w:szCs w:val="20"/>
              </w:rPr>
            </w:pPr>
          </w:p>
          <w:p w:rsidR="00C731AA" w:rsidRPr="00B603C4" w:rsidRDefault="00C731AA" w:rsidP="0032141B">
            <w:pPr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Dalyko studijų ir atsiskaitymo formos:</w:t>
            </w:r>
          </w:p>
          <w:p w:rsidR="00C731AA" w:rsidRPr="00B603C4" w:rsidRDefault="00C731AA" w:rsidP="0032141B">
            <w:pPr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1. Individualios viešosios politikos ir viešojo administravimo studijos. Atsiskaitymo forma – egzaminas raštu (50 % viso vertinimo). Per dvi valandas studentai turės atsakyti į tris egzamino klausimus.</w:t>
            </w:r>
          </w:p>
          <w:p w:rsidR="00C731AA" w:rsidRPr="00B603C4" w:rsidRDefault="00C731AA" w:rsidP="0032141B">
            <w:pPr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2. Empirinis tyrimas disertacijos tema pagal literatūros analizę, kuri parengiama pagal privalomą </w:t>
            </w:r>
            <w:r w:rsidRPr="00B603C4">
              <w:rPr>
                <w:rStyle w:val="apple-style-span"/>
                <w:sz w:val="20"/>
                <w:szCs w:val="20"/>
              </w:rPr>
              <w:t xml:space="preserve">Politikos mokslų metodologijos kursą. Empirinis tyrimas turi būti skirtas (nepriklausomiems ir priklausomiems) kintamiesiems </w:t>
            </w:r>
            <w:proofErr w:type="spellStart"/>
            <w:r w:rsidRPr="00B603C4">
              <w:rPr>
                <w:rStyle w:val="apple-style-span"/>
                <w:sz w:val="20"/>
                <w:szCs w:val="20"/>
              </w:rPr>
              <w:t>operacionalizuoti</w:t>
            </w:r>
            <w:proofErr w:type="spellEnd"/>
            <w:r w:rsidRPr="00B603C4">
              <w:rPr>
                <w:rStyle w:val="apple-style-span"/>
                <w:sz w:val="20"/>
                <w:szCs w:val="20"/>
              </w:rPr>
              <w:t xml:space="preserve">, jis turi būti pagrįstas antrine duomenų analize ir Lietuvos palyginimu su pasirinktomis užsienio šalimis arba skirtingų Lietuvos valdžios institucijų/jų grupių palyginimu pagal tam tikrus kriterijus. </w:t>
            </w:r>
            <w:r w:rsidRPr="00B603C4">
              <w:rPr>
                <w:sz w:val="20"/>
                <w:szCs w:val="20"/>
              </w:rPr>
              <w:t xml:space="preserve">Atsiskaitymo forma – rašto darbas (15 000 spaudos ženklų) (50 %). </w:t>
            </w:r>
          </w:p>
        </w:tc>
      </w:tr>
      <w:tr w:rsidR="00C731AA" w:rsidRPr="00B603C4" w:rsidTr="0032141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0" w:type="dxa"/>
            <w:gridSpan w:val="8"/>
            <w:tcBorders>
              <w:top w:val="single" w:sz="12" w:space="0" w:color="auto"/>
              <w:bottom w:val="double" w:sz="4" w:space="0" w:color="auto"/>
            </w:tcBorders>
          </w:tcPr>
          <w:p w:rsidR="00C731AA" w:rsidRPr="00B603C4" w:rsidRDefault="00C731AA" w:rsidP="0032141B">
            <w:pPr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Pagrindinė literatūra:</w:t>
            </w:r>
          </w:p>
        </w:tc>
      </w:tr>
      <w:tr w:rsidR="00C731AA" w:rsidRPr="00B603C4" w:rsidTr="0032141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0" w:type="dxa"/>
            <w:gridSpan w:val="8"/>
            <w:tcBorders>
              <w:top w:val="double" w:sz="4" w:space="0" w:color="auto"/>
              <w:bottom w:val="single" w:sz="12" w:space="0" w:color="auto"/>
            </w:tcBorders>
          </w:tcPr>
          <w:p w:rsidR="00C731AA" w:rsidRPr="00B603C4" w:rsidRDefault="00C731AA" w:rsidP="0032141B">
            <w:pPr>
              <w:ind w:left="360" w:hanging="360"/>
              <w:jc w:val="both"/>
              <w:rPr>
                <w:sz w:val="20"/>
                <w:szCs w:val="20"/>
              </w:rPr>
            </w:pPr>
          </w:p>
          <w:p w:rsidR="00C731AA" w:rsidRPr="00B603C4" w:rsidRDefault="00C731AA" w:rsidP="0032141B">
            <w:pPr>
              <w:ind w:left="360" w:hanging="36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Privalomi šaltiniai: </w:t>
            </w:r>
          </w:p>
          <w:p w:rsidR="00C731AA" w:rsidRPr="00B603C4" w:rsidRDefault="00C731AA" w:rsidP="0032141B">
            <w:pPr>
              <w:ind w:left="360" w:hanging="360"/>
              <w:jc w:val="both"/>
              <w:rPr>
                <w:sz w:val="20"/>
                <w:szCs w:val="20"/>
              </w:rPr>
            </w:pPr>
          </w:p>
          <w:p w:rsidR="00C731AA" w:rsidRPr="003346D1" w:rsidRDefault="00C731AA" w:rsidP="0032141B">
            <w:pPr>
              <w:ind w:left="360" w:hanging="360"/>
              <w:jc w:val="both"/>
              <w:rPr>
                <w:sz w:val="20"/>
                <w:szCs w:val="20"/>
              </w:rPr>
            </w:pPr>
            <w:r w:rsidRPr="003346D1">
              <w:rPr>
                <w:sz w:val="20"/>
                <w:szCs w:val="20"/>
              </w:rPr>
              <w:t xml:space="preserve">P. </w:t>
            </w:r>
            <w:proofErr w:type="spellStart"/>
            <w:r w:rsidRPr="003346D1">
              <w:rPr>
                <w:sz w:val="20"/>
                <w:szCs w:val="20"/>
              </w:rPr>
              <w:t>Sabatier</w:t>
            </w:r>
            <w:proofErr w:type="spellEnd"/>
            <w:r w:rsidRPr="003346D1">
              <w:rPr>
                <w:sz w:val="20"/>
                <w:szCs w:val="20"/>
              </w:rPr>
              <w:t xml:space="preserve"> (</w:t>
            </w:r>
            <w:proofErr w:type="spellStart"/>
            <w:r w:rsidRPr="003346D1">
              <w:rPr>
                <w:sz w:val="20"/>
                <w:szCs w:val="20"/>
              </w:rPr>
              <w:t>ed</w:t>
            </w:r>
            <w:proofErr w:type="spellEnd"/>
            <w:r w:rsidRPr="003346D1">
              <w:rPr>
                <w:sz w:val="20"/>
                <w:szCs w:val="20"/>
              </w:rPr>
              <w:t xml:space="preserve">.) </w:t>
            </w:r>
            <w:proofErr w:type="spellStart"/>
            <w:r w:rsidRPr="003346D1">
              <w:rPr>
                <w:i/>
                <w:sz w:val="20"/>
                <w:szCs w:val="20"/>
              </w:rPr>
              <w:t>Theories</w:t>
            </w:r>
            <w:proofErr w:type="spellEnd"/>
            <w:r w:rsidRPr="003346D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i/>
                <w:sz w:val="20"/>
                <w:szCs w:val="20"/>
              </w:rPr>
              <w:t>of</w:t>
            </w:r>
            <w:proofErr w:type="spellEnd"/>
            <w:r w:rsidRPr="003346D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i/>
                <w:sz w:val="20"/>
                <w:szCs w:val="20"/>
              </w:rPr>
              <w:t>the</w:t>
            </w:r>
            <w:proofErr w:type="spellEnd"/>
            <w:r w:rsidRPr="003346D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i/>
                <w:sz w:val="20"/>
                <w:szCs w:val="20"/>
              </w:rPr>
              <w:t>Policy</w:t>
            </w:r>
            <w:proofErr w:type="spellEnd"/>
            <w:r w:rsidRPr="003346D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i/>
                <w:sz w:val="20"/>
                <w:szCs w:val="20"/>
              </w:rPr>
              <w:t>Process</w:t>
            </w:r>
            <w:proofErr w:type="spellEnd"/>
            <w:r w:rsidRPr="003346D1">
              <w:rPr>
                <w:sz w:val="20"/>
                <w:szCs w:val="20"/>
              </w:rPr>
              <w:t xml:space="preserve">. </w:t>
            </w:r>
            <w:proofErr w:type="spellStart"/>
            <w:r w:rsidRPr="003346D1">
              <w:rPr>
                <w:sz w:val="20"/>
                <w:szCs w:val="20"/>
              </w:rPr>
              <w:t>Westview</w:t>
            </w:r>
            <w:proofErr w:type="spellEnd"/>
            <w:r w:rsidRPr="003346D1">
              <w:rPr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sz w:val="20"/>
                <w:szCs w:val="20"/>
              </w:rPr>
              <w:t>Press</w:t>
            </w:r>
            <w:proofErr w:type="spellEnd"/>
            <w:r w:rsidRPr="003346D1">
              <w:rPr>
                <w:sz w:val="20"/>
                <w:szCs w:val="20"/>
              </w:rPr>
              <w:t>, 1999.</w:t>
            </w:r>
          </w:p>
          <w:p w:rsidR="00C731AA" w:rsidRPr="003346D1" w:rsidRDefault="00C731AA" w:rsidP="0032141B">
            <w:pPr>
              <w:ind w:left="360" w:hanging="360"/>
              <w:jc w:val="both"/>
              <w:rPr>
                <w:rFonts w:ascii="Verdana" w:hAnsi="Verdana"/>
                <w:sz w:val="20"/>
                <w:szCs w:val="20"/>
              </w:rPr>
            </w:pPr>
            <w:r w:rsidRPr="003346D1">
              <w:rPr>
                <w:sz w:val="20"/>
                <w:szCs w:val="20"/>
              </w:rPr>
              <w:t>V. Nakrošis, Ž. Martinaitis (</w:t>
            </w:r>
            <w:proofErr w:type="spellStart"/>
            <w:r w:rsidRPr="003346D1">
              <w:rPr>
                <w:sz w:val="20"/>
                <w:szCs w:val="20"/>
              </w:rPr>
              <w:t>eds</w:t>
            </w:r>
            <w:proofErr w:type="spellEnd"/>
            <w:r w:rsidRPr="003346D1">
              <w:rPr>
                <w:sz w:val="20"/>
                <w:szCs w:val="20"/>
              </w:rPr>
              <w:t xml:space="preserve">). </w:t>
            </w:r>
            <w:proofErr w:type="spellStart"/>
            <w:r w:rsidRPr="003346D1">
              <w:rPr>
                <w:sz w:val="20"/>
                <w:szCs w:val="20"/>
              </w:rPr>
              <w:t>The</w:t>
            </w:r>
            <w:proofErr w:type="spellEnd"/>
            <w:r w:rsidRPr="003346D1">
              <w:rPr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sz w:val="20"/>
                <w:szCs w:val="20"/>
              </w:rPr>
              <w:t>organisation</w:t>
            </w:r>
            <w:proofErr w:type="spellEnd"/>
            <w:r w:rsidRPr="003346D1">
              <w:rPr>
                <w:sz w:val="20"/>
                <w:szCs w:val="20"/>
              </w:rPr>
              <w:t xml:space="preserve">, </w:t>
            </w:r>
            <w:proofErr w:type="spellStart"/>
            <w:r w:rsidRPr="003346D1">
              <w:rPr>
                <w:sz w:val="20"/>
                <w:szCs w:val="20"/>
              </w:rPr>
              <w:t>autonomy</w:t>
            </w:r>
            <w:proofErr w:type="spellEnd"/>
            <w:r w:rsidRPr="003346D1">
              <w:rPr>
                <w:sz w:val="20"/>
                <w:szCs w:val="20"/>
              </w:rPr>
              <w:t xml:space="preserve">, </w:t>
            </w:r>
            <w:proofErr w:type="spellStart"/>
            <w:r w:rsidRPr="003346D1">
              <w:rPr>
                <w:sz w:val="20"/>
                <w:szCs w:val="20"/>
              </w:rPr>
              <w:t>control</w:t>
            </w:r>
            <w:proofErr w:type="spellEnd"/>
            <w:r w:rsidRPr="003346D1">
              <w:rPr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sz w:val="20"/>
                <w:szCs w:val="20"/>
              </w:rPr>
              <w:t>and</w:t>
            </w:r>
            <w:proofErr w:type="spellEnd"/>
            <w:r w:rsidRPr="003346D1">
              <w:rPr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sz w:val="20"/>
                <w:szCs w:val="20"/>
              </w:rPr>
              <w:t>performance</w:t>
            </w:r>
            <w:proofErr w:type="spellEnd"/>
            <w:r w:rsidRPr="003346D1">
              <w:rPr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sz w:val="20"/>
                <w:szCs w:val="20"/>
              </w:rPr>
              <w:t>of</w:t>
            </w:r>
            <w:proofErr w:type="spellEnd"/>
            <w:r w:rsidRPr="003346D1">
              <w:rPr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sz w:val="20"/>
                <w:szCs w:val="20"/>
              </w:rPr>
              <w:t>the</w:t>
            </w:r>
            <w:proofErr w:type="spellEnd"/>
            <w:r w:rsidRPr="003346D1">
              <w:rPr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sz w:val="20"/>
                <w:szCs w:val="20"/>
              </w:rPr>
              <w:t>Lithuanian</w:t>
            </w:r>
            <w:proofErr w:type="spellEnd"/>
            <w:r w:rsidRPr="003346D1">
              <w:rPr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sz w:val="20"/>
                <w:szCs w:val="20"/>
              </w:rPr>
              <w:t>agencies</w:t>
            </w:r>
            <w:proofErr w:type="spellEnd"/>
            <w:r w:rsidRPr="003346D1">
              <w:rPr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sz w:val="20"/>
                <w:szCs w:val="20"/>
              </w:rPr>
              <w:t>and</w:t>
            </w:r>
            <w:proofErr w:type="spellEnd"/>
            <w:r w:rsidRPr="003346D1">
              <w:rPr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sz w:val="20"/>
                <w:szCs w:val="20"/>
              </w:rPr>
              <w:t>other</w:t>
            </w:r>
            <w:proofErr w:type="spellEnd"/>
            <w:r w:rsidRPr="003346D1">
              <w:rPr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sz w:val="20"/>
                <w:szCs w:val="20"/>
              </w:rPr>
              <w:t>public</w:t>
            </w:r>
            <w:proofErr w:type="spellEnd"/>
            <w:r w:rsidRPr="003346D1">
              <w:rPr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sz w:val="20"/>
                <w:szCs w:val="20"/>
              </w:rPr>
              <w:t>sector</w:t>
            </w:r>
            <w:proofErr w:type="spellEnd"/>
            <w:r w:rsidRPr="003346D1">
              <w:rPr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sz w:val="20"/>
                <w:szCs w:val="20"/>
              </w:rPr>
              <w:t>institutions</w:t>
            </w:r>
            <w:proofErr w:type="spellEnd"/>
            <w:r w:rsidRPr="003346D1">
              <w:rPr>
                <w:sz w:val="20"/>
                <w:szCs w:val="20"/>
              </w:rPr>
              <w:t xml:space="preserve">. Vilnius </w:t>
            </w:r>
            <w:proofErr w:type="spellStart"/>
            <w:r w:rsidRPr="003346D1">
              <w:rPr>
                <w:sz w:val="20"/>
                <w:szCs w:val="20"/>
              </w:rPr>
              <w:t>University</w:t>
            </w:r>
            <w:proofErr w:type="spellEnd"/>
            <w:r w:rsidRPr="003346D1">
              <w:rPr>
                <w:sz w:val="20"/>
                <w:szCs w:val="20"/>
              </w:rPr>
              <w:t xml:space="preserve">, </w:t>
            </w:r>
            <w:proofErr w:type="spellStart"/>
            <w:r w:rsidRPr="003346D1">
              <w:rPr>
                <w:sz w:val="20"/>
                <w:szCs w:val="20"/>
              </w:rPr>
              <w:t>forthcoming</w:t>
            </w:r>
            <w:proofErr w:type="spellEnd"/>
            <w:r w:rsidRPr="003346D1">
              <w:rPr>
                <w:sz w:val="20"/>
                <w:szCs w:val="20"/>
              </w:rPr>
              <w:t xml:space="preserve">. </w:t>
            </w:r>
          </w:p>
          <w:p w:rsidR="00C731AA" w:rsidRPr="003346D1" w:rsidRDefault="00C731AA" w:rsidP="0032141B">
            <w:pPr>
              <w:ind w:left="360" w:hanging="360"/>
              <w:jc w:val="both"/>
              <w:rPr>
                <w:sz w:val="20"/>
                <w:szCs w:val="20"/>
              </w:rPr>
            </w:pPr>
            <w:r w:rsidRPr="003346D1">
              <w:rPr>
                <w:sz w:val="20"/>
                <w:szCs w:val="20"/>
              </w:rPr>
              <w:t xml:space="preserve">C. </w:t>
            </w:r>
            <w:proofErr w:type="spellStart"/>
            <w:r w:rsidRPr="003346D1">
              <w:rPr>
                <w:sz w:val="20"/>
                <w:szCs w:val="20"/>
              </w:rPr>
              <w:t>Pollitt</w:t>
            </w:r>
            <w:proofErr w:type="spellEnd"/>
            <w:r w:rsidRPr="003346D1">
              <w:rPr>
                <w:sz w:val="20"/>
                <w:szCs w:val="20"/>
              </w:rPr>
              <w:t xml:space="preserve"> ir G. </w:t>
            </w:r>
            <w:proofErr w:type="spellStart"/>
            <w:r w:rsidRPr="003346D1">
              <w:rPr>
                <w:sz w:val="20"/>
                <w:szCs w:val="20"/>
              </w:rPr>
              <w:t>Bouchaert</w:t>
            </w:r>
            <w:proofErr w:type="spellEnd"/>
            <w:r w:rsidRPr="003346D1">
              <w:rPr>
                <w:sz w:val="20"/>
                <w:szCs w:val="20"/>
              </w:rPr>
              <w:t xml:space="preserve">. </w:t>
            </w:r>
            <w:r w:rsidRPr="003346D1">
              <w:rPr>
                <w:i/>
                <w:sz w:val="20"/>
                <w:szCs w:val="20"/>
              </w:rPr>
              <w:t>Viešojo valdymo reforma: lyginamoji perspektyva</w:t>
            </w:r>
            <w:r w:rsidRPr="003346D1">
              <w:rPr>
                <w:sz w:val="20"/>
                <w:szCs w:val="20"/>
              </w:rPr>
              <w:t xml:space="preserve">. </w:t>
            </w:r>
            <w:proofErr w:type="spellStart"/>
            <w:r w:rsidRPr="003346D1">
              <w:rPr>
                <w:sz w:val="20"/>
                <w:szCs w:val="20"/>
              </w:rPr>
              <w:t>Algarvė</w:t>
            </w:r>
            <w:proofErr w:type="spellEnd"/>
            <w:r w:rsidRPr="003346D1">
              <w:rPr>
                <w:sz w:val="20"/>
                <w:szCs w:val="20"/>
              </w:rPr>
              <w:t xml:space="preserve">, 2003. </w:t>
            </w:r>
          </w:p>
          <w:p w:rsidR="00C731AA" w:rsidRPr="003346D1" w:rsidRDefault="00C731AA" w:rsidP="0032141B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3346D1">
              <w:rPr>
                <w:i/>
                <w:sz w:val="20"/>
                <w:szCs w:val="20"/>
              </w:rPr>
              <w:t>Handbook</w:t>
            </w:r>
            <w:proofErr w:type="spellEnd"/>
            <w:r w:rsidRPr="003346D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i/>
                <w:sz w:val="20"/>
                <w:szCs w:val="20"/>
              </w:rPr>
              <w:t>of</w:t>
            </w:r>
            <w:proofErr w:type="spellEnd"/>
            <w:r w:rsidRPr="003346D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i/>
                <w:sz w:val="20"/>
                <w:szCs w:val="20"/>
              </w:rPr>
              <w:t>Public</w:t>
            </w:r>
            <w:proofErr w:type="spellEnd"/>
            <w:r w:rsidRPr="003346D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i/>
                <w:sz w:val="20"/>
                <w:szCs w:val="20"/>
              </w:rPr>
              <w:t>Administration</w:t>
            </w:r>
            <w:proofErr w:type="spellEnd"/>
            <w:r w:rsidRPr="003346D1">
              <w:rPr>
                <w:sz w:val="20"/>
                <w:szCs w:val="20"/>
              </w:rPr>
              <w:t xml:space="preserve">/ </w:t>
            </w:r>
            <w:proofErr w:type="spellStart"/>
            <w:r w:rsidRPr="003346D1">
              <w:rPr>
                <w:sz w:val="20"/>
                <w:szCs w:val="20"/>
              </w:rPr>
              <w:t>Ed</w:t>
            </w:r>
            <w:proofErr w:type="spellEnd"/>
            <w:r w:rsidRPr="003346D1">
              <w:rPr>
                <w:sz w:val="20"/>
                <w:szCs w:val="20"/>
              </w:rPr>
              <w:t xml:space="preserve">. </w:t>
            </w:r>
            <w:proofErr w:type="spellStart"/>
            <w:r w:rsidRPr="003346D1">
              <w:rPr>
                <w:sz w:val="20"/>
                <w:szCs w:val="20"/>
              </w:rPr>
              <w:t>by</w:t>
            </w:r>
            <w:proofErr w:type="spellEnd"/>
            <w:r w:rsidRPr="003346D1">
              <w:rPr>
                <w:sz w:val="20"/>
                <w:szCs w:val="20"/>
              </w:rPr>
              <w:t xml:space="preserve"> G. </w:t>
            </w:r>
            <w:proofErr w:type="spellStart"/>
            <w:r w:rsidRPr="003346D1">
              <w:rPr>
                <w:sz w:val="20"/>
                <w:szCs w:val="20"/>
              </w:rPr>
              <w:t>Peters</w:t>
            </w:r>
            <w:proofErr w:type="spellEnd"/>
            <w:r w:rsidRPr="003346D1">
              <w:rPr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sz w:val="20"/>
                <w:szCs w:val="20"/>
              </w:rPr>
              <w:t>and</w:t>
            </w:r>
            <w:proofErr w:type="spellEnd"/>
            <w:r w:rsidRPr="003346D1">
              <w:rPr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sz w:val="20"/>
                <w:szCs w:val="20"/>
              </w:rPr>
              <w:t>J.Pierre</w:t>
            </w:r>
            <w:proofErr w:type="spellEnd"/>
            <w:r w:rsidRPr="003346D1">
              <w:rPr>
                <w:sz w:val="20"/>
                <w:szCs w:val="20"/>
              </w:rPr>
              <w:t xml:space="preserve">. </w:t>
            </w:r>
            <w:proofErr w:type="spellStart"/>
            <w:r w:rsidRPr="003346D1">
              <w:rPr>
                <w:sz w:val="20"/>
                <w:szCs w:val="20"/>
              </w:rPr>
              <w:t>London-New</w:t>
            </w:r>
            <w:proofErr w:type="spellEnd"/>
            <w:r w:rsidRPr="003346D1">
              <w:rPr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sz w:val="20"/>
                <w:szCs w:val="20"/>
              </w:rPr>
              <w:t>Delhi</w:t>
            </w:r>
            <w:proofErr w:type="spellEnd"/>
            <w:r w:rsidRPr="003346D1">
              <w:rPr>
                <w:sz w:val="20"/>
                <w:szCs w:val="20"/>
              </w:rPr>
              <w:t xml:space="preserve">: Sage </w:t>
            </w:r>
            <w:proofErr w:type="spellStart"/>
            <w:r w:rsidRPr="003346D1">
              <w:rPr>
                <w:sz w:val="20"/>
                <w:szCs w:val="20"/>
              </w:rPr>
              <w:t>Publications</w:t>
            </w:r>
            <w:proofErr w:type="spellEnd"/>
            <w:r w:rsidRPr="003346D1">
              <w:rPr>
                <w:sz w:val="20"/>
                <w:szCs w:val="20"/>
              </w:rPr>
              <w:t>, 2003. (pasirinkti skyriai)</w:t>
            </w:r>
          </w:p>
          <w:p w:rsidR="00C731AA" w:rsidRPr="003346D1" w:rsidRDefault="00C731AA" w:rsidP="0032141B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3346D1">
              <w:rPr>
                <w:i/>
                <w:sz w:val="20"/>
                <w:szCs w:val="20"/>
              </w:rPr>
              <w:t>The</w:t>
            </w:r>
            <w:proofErr w:type="spellEnd"/>
            <w:r w:rsidRPr="003346D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i/>
                <w:sz w:val="20"/>
                <w:szCs w:val="20"/>
              </w:rPr>
              <w:t>Oxford</w:t>
            </w:r>
            <w:proofErr w:type="spellEnd"/>
            <w:r w:rsidRPr="003346D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i/>
                <w:sz w:val="20"/>
                <w:szCs w:val="20"/>
              </w:rPr>
              <w:t>Handbook</w:t>
            </w:r>
            <w:proofErr w:type="spellEnd"/>
            <w:r w:rsidRPr="003346D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i/>
                <w:sz w:val="20"/>
                <w:szCs w:val="20"/>
              </w:rPr>
              <w:t>of</w:t>
            </w:r>
            <w:proofErr w:type="spellEnd"/>
            <w:r w:rsidRPr="003346D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i/>
                <w:sz w:val="20"/>
                <w:szCs w:val="20"/>
              </w:rPr>
              <w:t>Public</w:t>
            </w:r>
            <w:proofErr w:type="spellEnd"/>
            <w:r w:rsidRPr="003346D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i/>
                <w:sz w:val="20"/>
                <w:szCs w:val="20"/>
              </w:rPr>
              <w:t>Management</w:t>
            </w:r>
            <w:proofErr w:type="spellEnd"/>
            <w:r w:rsidRPr="003346D1">
              <w:rPr>
                <w:sz w:val="20"/>
                <w:szCs w:val="20"/>
              </w:rPr>
              <w:t xml:space="preserve">/ </w:t>
            </w:r>
            <w:proofErr w:type="spellStart"/>
            <w:r w:rsidRPr="003346D1">
              <w:rPr>
                <w:sz w:val="20"/>
                <w:szCs w:val="20"/>
              </w:rPr>
              <w:t>Ed</w:t>
            </w:r>
            <w:proofErr w:type="spellEnd"/>
            <w:r w:rsidRPr="003346D1">
              <w:rPr>
                <w:sz w:val="20"/>
                <w:szCs w:val="20"/>
              </w:rPr>
              <w:t xml:space="preserve">. </w:t>
            </w:r>
            <w:proofErr w:type="spellStart"/>
            <w:r w:rsidRPr="003346D1">
              <w:rPr>
                <w:sz w:val="20"/>
                <w:szCs w:val="20"/>
              </w:rPr>
              <w:t>By</w:t>
            </w:r>
            <w:proofErr w:type="spellEnd"/>
            <w:r w:rsidRPr="003346D1">
              <w:rPr>
                <w:sz w:val="20"/>
                <w:szCs w:val="20"/>
              </w:rPr>
              <w:t xml:space="preserve"> E. </w:t>
            </w:r>
            <w:proofErr w:type="spellStart"/>
            <w:r w:rsidRPr="003346D1">
              <w:rPr>
                <w:sz w:val="20"/>
                <w:szCs w:val="20"/>
              </w:rPr>
              <w:t>Ferlie</w:t>
            </w:r>
            <w:proofErr w:type="spellEnd"/>
            <w:r w:rsidRPr="003346D1">
              <w:rPr>
                <w:sz w:val="20"/>
                <w:szCs w:val="20"/>
              </w:rPr>
              <w:t xml:space="preserve">, L. E. </w:t>
            </w:r>
            <w:proofErr w:type="spellStart"/>
            <w:r w:rsidRPr="003346D1">
              <w:rPr>
                <w:sz w:val="20"/>
                <w:szCs w:val="20"/>
              </w:rPr>
              <w:t>Lynn</w:t>
            </w:r>
            <w:proofErr w:type="spellEnd"/>
            <w:r w:rsidRPr="003346D1">
              <w:rPr>
                <w:sz w:val="20"/>
                <w:szCs w:val="20"/>
              </w:rPr>
              <w:t xml:space="preserve">, </w:t>
            </w:r>
            <w:proofErr w:type="spellStart"/>
            <w:r w:rsidRPr="003346D1">
              <w:rPr>
                <w:sz w:val="20"/>
                <w:szCs w:val="20"/>
              </w:rPr>
              <w:t>Ch</w:t>
            </w:r>
            <w:proofErr w:type="spellEnd"/>
            <w:r w:rsidRPr="003346D1">
              <w:rPr>
                <w:sz w:val="20"/>
                <w:szCs w:val="20"/>
              </w:rPr>
              <w:t xml:space="preserve">. </w:t>
            </w:r>
            <w:proofErr w:type="spellStart"/>
            <w:r w:rsidRPr="003346D1">
              <w:rPr>
                <w:sz w:val="20"/>
                <w:szCs w:val="20"/>
              </w:rPr>
              <w:t>Pollitt</w:t>
            </w:r>
            <w:proofErr w:type="spellEnd"/>
            <w:r w:rsidRPr="003346D1">
              <w:rPr>
                <w:sz w:val="20"/>
                <w:szCs w:val="20"/>
              </w:rPr>
              <w:t xml:space="preserve">. </w:t>
            </w:r>
            <w:proofErr w:type="spellStart"/>
            <w:r w:rsidRPr="003346D1">
              <w:rPr>
                <w:sz w:val="20"/>
                <w:szCs w:val="20"/>
              </w:rPr>
              <w:t>Oxford</w:t>
            </w:r>
            <w:proofErr w:type="spellEnd"/>
            <w:r w:rsidRPr="003346D1">
              <w:rPr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sz w:val="20"/>
                <w:szCs w:val="20"/>
              </w:rPr>
              <w:t>University</w:t>
            </w:r>
            <w:proofErr w:type="spellEnd"/>
            <w:r w:rsidRPr="003346D1">
              <w:rPr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sz w:val="20"/>
                <w:szCs w:val="20"/>
              </w:rPr>
              <w:t>Press</w:t>
            </w:r>
            <w:proofErr w:type="spellEnd"/>
            <w:r w:rsidRPr="003346D1">
              <w:rPr>
                <w:sz w:val="20"/>
                <w:szCs w:val="20"/>
              </w:rPr>
              <w:t>, 2005. (pasirinkti skyriai)</w:t>
            </w:r>
          </w:p>
          <w:p w:rsidR="00C731AA" w:rsidRPr="003346D1" w:rsidRDefault="00C731AA" w:rsidP="0032141B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3346D1">
              <w:rPr>
                <w:i/>
                <w:sz w:val="20"/>
                <w:szCs w:val="20"/>
              </w:rPr>
              <w:t>The</w:t>
            </w:r>
            <w:proofErr w:type="spellEnd"/>
            <w:r w:rsidRPr="003346D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i/>
                <w:sz w:val="20"/>
                <w:szCs w:val="20"/>
              </w:rPr>
              <w:t>Oxford</w:t>
            </w:r>
            <w:proofErr w:type="spellEnd"/>
            <w:r w:rsidRPr="003346D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i/>
                <w:sz w:val="20"/>
                <w:szCs w:val="20"/>
              </w:rPr>
              <w:t>Handbook</w:t>
            </w:r>
            <w:proofErr w:type="spellEnd"/>
            <w:r w:rsidRPr="003346D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i/>
                <w:sz w:val="20"/>
                <w:szCs w:val="20"/>
              </w:rPr>
              <w:t>of</w:t>
            </w:r>
            <w:proofErr w:type="spellEnd"/>
            <w:r w:rsidRPr="003346D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i/>
                <w:sz w:val="20"/>
                <w:szCs w:val="20"/>
              </w:rPr>
              <w:t>Public</w:t>
            </w:r>
            <w:proofErr w:type="spellEnd"/>
            <w:r w:rsidRPr="003346D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i/>
                <w:sz w:val="20"/>
                <w:szCs w:val="20"/>
              </w:rPr>
              <w:t>Policy</w:t>
            </w:r>
            <w:proofErr w:type="spellEnd"/>
            <w:r w:rsidRPr="003346D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346D1">
              <w:rPr>
                <w:i/>
                <w:sz w:val="20"/>
                <w:szCs w:val="20"/>
              </w:rPr>
              <w:t>ed</w:t>
            </w:r>
            <w:proofErr w:type="spellEnd"/>
            <w:r w:rsidRPr="003346D1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3346D1">
              <w:rPr>
                <w:i/>
                <w:sz w:val="20"/>
                <w:szCs w:val="20"/>
              </w:rPr>
              <w:t>By</w:t>
            </w:r>
            <w:proofErr w:type="spellEnd"/>
            <w:r w:rsidRPr="003346D1">
              <w:rPr>
                <w:i/>
                <w:sz w:val="20"/>
                <w:szCs w:val="20"/>
              </w:rPr>
              <w:t xml:space="preserve"> M. </w:t>
            </w:r>
            <w:proofErr w:type="spellStart"/>
            <w:r w:rsidRPr="003346D1">
              <w:rPr>
                <w:i/>
                <w:sz w:val="20"/>
                <w:szCs w:val="20"/>
              </w:rPr>
              <w:t>Moran</w:t>
            </w:r>
            <w:proofErr w:type="spellEnd"/>
            <w:r w:rsidRPr="003346D1">
              <w:rPr>
                <w:i/>
                <w:sz w:val="20"/>
                <w:szCs w:val="20"/>
              </w:rPr>
              <w:t xml:space="preserve">, M. </w:t>
            </w:r>
            <w:proofErr w:type="spellStart"/>
            <w:r w:rsidRPr="003346D1">
              <w:rPr>
                <w:i/>
                <w:sz w:val="20"/>
                <w:szCs w:val="20"/>
              </w:rPr>
              <w:t>Rein</w:t>
            </w:r>
            <w:proofErr w:type="spellEnd"/>
            <w:r w:rsidRPr="003346D1">
              <w:rPr>
                <w:i/>
                <w:sz w:val="20"/>
                <w:szCs w:val="20"/>
              </w:rPr>
              <w:t xml:space="preserve">, R. </w:t>
            </w:r>
            <w:proofErr w:type="spellStart"/>
            <w:r w:rsidRPr="003346D1">
              <w:rPr>
                <w:i/>
                <w:sz w:val="20"/>
                <w:szCs w:val="20"/>
              </w:rPr>
              <w:t>Goodin</w:t>
            </w:r>
            <w:proofErr w:type="spellEnd"/>
            <w:r w:rsidRPr="003346D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3346D1">
              <w:rPr>
                <w:i/>
                <w:sz w:val="20"/>
                <w:szCs w:val="20"/>
              </w:rPr>
              <w:t>Oxford</w:t>
            </w:r>
            <w:proofErr w:type="spellEnd"/>
            <w:r w:rsidRPr="003346D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i/>
                <w:sz w:val="20"/>
                <w:szCs w:val="20"/>
              </w:rPr>
              <w:t>University</w:t>
            </w:r>
            <w:proofErr w:type="spellEnd"/>
            <w:r w:rsidRPr="003346D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i/>
                <w:sz w:val="20"/>
                <w:szCs w:val="20"/>
              </w:rPr>
              <w:t>Press</w:t>
            </w:r>
            <w:proofErr w:type="spellEnd"/>
            <w:r w:rsidRPr="003346D1">
              <w:rPr>
                <w:i/>
                <w:sz w:val="20"/>
                <w:szCs w:val="20"/>
              </w:rPr>
              <w:t xml:space="preserve">, 2008. </w:t>
            </w:r>
            <w:r w:rsidRPr="003346D1">
              <w:rPr>
                <w:sz w:val="20"/>
                <w:szCs w:val="20"/>
              </w:rPr>
              <w:t>(pasirinkti skyriai)</w:t>
            </w:r>
          </w:p>
          <w:p w:rsidR="00C731AA" w:rsidRPr="00B603C4" w:rsidRDefault="00C731AA" w:rsidP="0032141B">
            <w:pPr>
              <w:ind w:left="360" w:hanging="360"/>
              <w:jc w:val="both"/>
              <w:rPr>
                <w:sz w:val="20"/>
                <w:szCs w:val="20"/>
              </w:rPr>
            </w:pPr>
          </w:p>
          <w:p w:rsidR="00C731AA" w:rsidRPr="00B603C4" w:rsidRDefault="00C731AA" w:rsidP="0032141B">
            <w:pPr>
              <w:ind w:left="360" w:hanging="360"/>
              <w:jc w:val="both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Papildomi šaltiniai: </w:t>
            </w:r>
          </w:p>
          <w:p w:rsidR="00C731AA" w:rsidRPr="00B603C4" w:rsidRDefault="00C731AA" w:rsidP="0032141B">
            <w:pPr>
              <w:ind w:left="360" w:hanging="360"/>
              <w:jc w:val="both"/>
              <w:rPr>
                <w:sz w:val="20"/>
                <w:szCs w:val="20"/>
              </w:rPr>
            </w:pPr>
          </w:p>
          <w:p w:rsidR="00C731AA" w:rsidRPr="00B603C4" w:rsidRDefault="00C731AA" w:rsidP="0032141B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John</w:t>
            </w:r>
            <w:proofErr w:type="spellEnd"/>
            <w:r w:rsidRPr="00B603C4">
              <w:rPr>
                <w:sz w:val="20"/>
                <w:szCs w:val="20"/>
              </w:rPr>
              <w:t xml:space="preserve"> S. </w:t>
            </w:r>
            <w:proofErr w:type="spellStart"/>
            <w:r w:rsidRPr="00B603C4">
              <w:rPr>
                <w:sz w:val="20"/>
                <w:szCs w:val="20"/>
              </w:rPr>
              <w:t>Dryzek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and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Patrick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Dunleavy</w:t>
            </w:r>
            <w:proofErr w:type="spellEnd"/>
            <w:r w:rsidRPr="00B603C4">
              <w:rPr>
                <w:sz w:val="20"/>
                <w:szCs w:val="20"/>
              </w:rPr>
              <w:t>.</w:t>
            </w:r>
            <w:r w:rsidRPr="00B603C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bCs/>
                <w:i/>
                <w:sz w:val="20"/>
                <w:szCs w:val="20"/>
              </w:rPr>
              <w:t>Theories</w:t>
            </w:r>
            <w:proofErr w:type="spellEnd"/>
            <w:r w:rsidRPr="00B603C4">
              <w:rPr>
                <w:i/>
                <w:sz w:val="20"/>
                <w:szCs w:val="20"/>
              </w:rPr>
              <w:t> </w:t>
            </w:r>
            <w:proofErr w:type="spellStart"/>
            <w:r w:rsidRPr="00B603C4">
              <w:rPr>
                <w:i/>
                <w:sz w:val="20"/>
                <w:szCs w:val="20"/>
              </w:rPr>
              <w:t>of</w:t>
            </w:r>
            <w:proofErr w:type="spellEnd"/>
            <w:r w:rsidRPr="00B603C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i/>
                <w:sz w:val="20"/>
                <w:szCs w:val="20"/>
              </w:rPr>
              <w:t>the</w:t>
            </w:r>
            <w:proofErr w:type="spellEnd"/>
            <w:r w:rsidRPr="00B603C4">
              <w:rPr>
                <w:i/>
                <w:sz w:val="20"/>
                <w:szCs w:val="20"/>
              </w:rPr>
              <w:t> </w:t>
            </w:r>
            <w:proofErr w:type="spellStart"/>
            <w:r w:rsidRPr="00B603C4">
              <w:rPr>
                <w:bCs/>
                <w:i/>
                <w:sz w:val="20"/>
                <w:szCs w:val="20"/>
              </w:rPr>
              <w:t>democratic</w:t>
            </w:r>
            <w:proofErr w:type="spellEnd"/>
            <w:r w:rsidRPr="00B603C4">
              <w:rPr>
                <w:i/>
                <w:sz w:val="20"/>
                <w:szCs w:val="20"/>
              </w:rPr>
              <w:t> </w:t>
            </w:r>
            <w:proofErr w:type="spellStart"/>
            <w:r w:rsidRPr="00B603C4">
              <w:rPr>
                <w:bCs/>
                <w:i/>
                <w:sz w:val="20"/>
                <w:szCs w:val="20"/>
              </w:rPr>
              <w:t>state</w:t>
            </w:r>
            <w:proofErr w:type="spellEnd"/>
            <w:r w:rsidRPr="00B603C4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603C4">
              <w:rPr>
                <w:sz w:val="20"/>
                <w:szCs w:val="20"/>
              </w:rPr>
              <w:t>London</w:t>
            </w:r>
            <w:proofErr w:type="spellEnd"/>
            <w:r w:rsidRPr="00B603C4">
              <w:rPr>
                <w:sz w:val="20"/>
                <w:szCs w:val="20"/>
              </w:rPr>
              <w:t>; </w:t>
            </w:r>
            <w:proofErr w:type="spellStart"/>
            <w:r w:rsidRPr="00B603C4">
              <w:rPr>
                <w:sz w:val="20"/>
                <w:szCs w:val="20"/>
              </w:rPr>
              <w:t>New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York</w:t>
            </w:r>
            <w:proofErr w:type="spellEnd"/>
            <w:r w:rsidRPr="00B603C4">
              <w:rPr>
                <w:sz w:val="20"/>
                <w:szCs w:val="20"/>
              </w:rPr>
              <w:t xml:space="preserve"> [N.Y.] : </w:t>
            </w:r>
            <w:proofErr w:type="spellStart"/>
            <w:r w:rsidRPr="00B603C4">
              <w:rPr>
                <w:sz w:val="20"/>
                <w:szCs w:val="20"/>
              </w:rPr>
              <w:t>Palgrave</w:t>
            </w:r>
            <w:proofErr w:type="spellEnd"/>
            <w:r w:rsidRPr="00B603C4">
              <w:rPr>
                <w:sz w:val="20"/>
                <w:szCs w:val="20"/>
              </w:rPr>
              <w:t xml:space="preserve"> </w:t>
            </w:r>
            <w:proofErr w:type="spellStart"/>
            <w:r w:rsidRPr="00B603C4">
              <w:rPr>
                <w:sz w:val="20"/>
                <w:szCs w:val="20"/>
              </w:rPr>
              <w:t>Macmillan</w:t>
            </w:r>
            <w:proofErr w:type="spellEnd"/>
            <w:r w:rsidRPr="00B603C4">
              <w:rPr>
                <w:sz w:val="20"/>
                <w:szCs w:val="20"/>
              </w:rPr>
              <w:t xml:space="preserve">, 2009. </w:t>
            </w:r>
          </w:p>
          <w:p w:rsidR="00C731AA" w:rsidRPr="003346D1" w:rsidRDefault="00C731AA" w:rsidP="0032141B">
            <w:pPr>
              <w:ind w:left="360" w:hanging="360"/>
              <w:jc w:val="both"/>
              <w:rPr>
                <w:rFonts w:ascii="Palatino-Roman" w:hAnsi="Palatino-Roman" w:cs="Palatino-Roman"/>
                <w:sz w:val="20"/>
                <w:szCs w:val="20"/>
              </w:rPr>
            </w:pPr>
            <w:proofErr w:type="spellStart"/>
            <w:r w:rsidRPr="003346D1">
              <w:rPr>
                <w:rFonts w:ascii="Palatino-Roman" w:hAnsi="Palatino-Roman" w:cs="Palatino-Roman"/>
                <w:sz w:val="20"/>
                <w:szCs w:val="20"/>
              </w:rPr>
              <w:t>Christensen</w:t>
            </w:r>
            <w:proofErr w:type="spellEnd"/>
            <w:r w:rsidRPr="003346D1">
              <w:rPr>
                <w:rFonts w:ascii="Palatino-Roman" w:hAnsi="Palatino-Roman" w:cs="Palatino-Roman"/>
                <w:sz w:val="20"/>
                <w:szCs w:val="20"/>
              </w:rPr>
              <w:t xml:space="preserve">, T. </w:t>
            </w:r>
            <w:proofErr w:type="spellStart"/>
            <w:r w:rsidRPr="003346D1">
              <w:rPr>
                <w:rFonts w:ascii="Palatino-Roman" w:hAnsi="Palatino-Roman" w:cs="Palatino-Roman"/>
                <w:sz w:val="20"/>
                <w:szCs w:val="20"/>
              </w:rPr>
              <w:t>and</w:t>
            </w:r>
            <w:proofErr w:type="spellEnd"/>
            <w:r w:rsidRPr="003346D1">
              <w:rPr>
                <w:rFonts w:ascii="Palatino-Roman" w:hAnsi="Palatino-Roman" w:cs="Palatino-Roman"/>
                <w:sz w:val="20"/>
                <w:szCs w:val="20"/>
              </w:rPr>
              <w:t xml:space="preserve"> P. </w:t>
            </w:r>
            <w:proofErr w:type="spellStart"/>
            <w:r w:rsidRPr="003346D1">
              <w:rPr>
                <w:rFonts w:ascii="Palatino-Roman" w:hAnsi="Palatino-Roman" w:cs="Palatino-Roman"/>
                <w:sz w:val="20"/>
                <w:szCs w:val="20"/>
              </w:rPr>
              <w:t>Lægreid</w:t>
            </w:r>
            <w:proofErr w:type="spellEnd"/>
            <w:r w:rsidRPr="003346D1">
              <w:rPr>
                <w:rFonts w:ascii="Palatino-Roman" w:hAnsi="Palatino-Roman" w:cs="Palatino-Roman"/>
                <w:sz w:val="20"/>
                <w:szCs w:val="20"/>
              </w:rPr>
              <w:t xml:space="preserve">. 2001. </w:t>
            </w:r>
            <w:proofErr w:type="spellStart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>New</w:t>
            </w:r>
            <w:proofErr w:type="spellEnd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>Public</w:t>
            </w:r>
            <w:proofErr w:type="spellEnd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>Management</w:t>
            </w:r>
            <w:proofErr w:type="spellEnd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>The</w:t>
            </w:r>
            <w:proofErr w:type="spellEnd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>Transformation</w:t>
            </w:r>
            <w:proofErr w:type="spellEnd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>of</w:t>
            </w:r>
            <w:proofErr w:type="spellEnd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>Ideas</w:t>
            </w:r>
            <w:proofErr w:type="spellEnd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>and</w:t>
            </w:r>
            <w:proofErr w:type="spellEnd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>Practice</w:t>
            </w:r>
            <w:proofErr w:type="spellEnd"/>
            <w:r w:rsidRPr="003346D1">
              <w:rPr>
                <w:rFonts w:ascii="Palatino-Roman" w:hAnsi="Palatino-Roman" w:cs="Palatino-Roman"/>
                <w:sz w:val="20"/>
                <w:szCs w:val="20"/>
              </w:rPr>
              <w:t xml:space="preserve">. </w:t>
            </w:r>
            <w:proofErr w:type="spellStart"/>
            <w:r w:rsidRPr="003346D1">
              <w:rPr>
                <w:rFonts w:ascii="Palatino-Roman" w:hAnsi="Palatino-Roman" w:cs="Palatino-Roman"/>
                <w:sz w:val="20"/>
                <w:szCs w:val="20"/>
              </w:rPr>
              <w:t>Aldershot</w:t>
            </w:r>
            <w:proofErr w:type="spellEnd"/>
            <w:r w:rsidRPr="003346D1">
              <w:rPr>
                <w:rFonts w:ascii="Palatino-Roman" w:hAnsi="Palatino-Roman" w:cs="Palatino-Roman"/>
                <w:sz w:val="20"/>
                <w:szCs w:val="20"/>
              </w:rPr>
              <w:t xml:space="preserve">: </w:t>
            </w:r>
            <w:proofErr w:type="spellStart"/>
            <w:r w:rsidRPr="003346D1">
              <w:rPr>
                <w:rFonts w:ascii="Palatino-Roman" w:hAnsi="Palatino-Roman" w:cs="Palatino-Roman"/>
                <w:sz w:val="20"/>
                <w:szCs w:val="20"/>
              </w:rPr>
              <w:t>Ashgate</w:t>
            </w:r>
            <w:proofErr w:type="spellEnd"/>
            <w:r w:rsidRPr="003346D1">
              <w:rPr>
                <w:rFonts w:ascii="Palatino-Roman" w:hAnsi="Palatino-Roman" w:cs="Palatino-Roman"/>
                <w:sz w:val="20"/>
                <w:szCs w:val="20"/>
              </w:rPr>
              <w:t>.</w:t>
            </w:r>
          </w:p>
          <w:p w:rsidR="00C731AA" w:rsidRPr="003346D1" w:rsidRDefault="00C731AA" w:rsidP="0032141B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3346D1">
              <w:rPr>
                <w:rStyle w:val="apple-style-span"/>
                <w:sz w:val="20"/>
                <w:szCs w:val="20"/>
              </w:rPr>
              <w:t>Christopher</w:t>
            </w:r>
            <w:proofErr w:type="spellEnd"/>
            <w:r w:rsidRPr="003346D1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rStyle w:val="apple-style-span"/>
                <w:sz w:val="20"/>
                <w:szCs w:val="20"/>
              </w:rPr>
              <w:t>Pollitt</w:t>
            </w:r>
            <w:proofErr w:type="spellEnd"/>
            <w:r w:rsidRPr="003346D1">
              <w:rPr>
                <w:rStyle w:val="apple-style-span"/>
                <w:sz w:val="20"/>
                <w:szCs w:val="20"/>
              </w:rPr>
              <w:t xml:space="preserve">, et al. </w:t>
            </w:r>
            <w:proofErr w:type="spellStart"/>
            <w:r w:rsidRPr="003346D1">
              <w:rPr>
                <w:rStyle w:val="apple-style-span"/>
                <w:i/>
                <w:sz w:val="20"/>
                <w:szCs w:val="20"/>
              </w:rPr>
              <w:t>New</w:t>
            </w:r>
            <w:proofErr w:type="spellEnd"/>
            <w:r w:rsidRPr="003346D1">
              <w:rPr>
                <w:rStyle w:val="apple-style-span"/>
                <w:i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rStyle w:val="apple-style-span"/>
                <w:i/>
                <w:sz w:val="20"/>
                <w:szCs w:val="20"/>
              </w:rPr>
              <w:t>public</w:t>
            </w:r>
            <w:proofErr w:type="spellEnd"/>
            <w:r w:rsidRPr="003346D1">
              <w:rPr>
                <w:rStyle w:val="apple-style-span"/>
                <w:i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rStyle w:val="apple-style-span"/>
                <w:i/>
                <w:sz w:val="20"/>
                <w:szCs w:val="20"/>
              </w:rPr>
              <w:t>management</w:t>
            </w:r>
            <w:proofErr w:type="spellEnd"/>
            <w:r w:rsidRPr="003346D1">
              <w:rPr>
                <w:rStyle w:val="apple-style-span"/>
                <w:i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rStyle w:val="apple-style-span"/>
                <w:i/>
                <w:sz w:val="20"/>
                <w:szCs w:val="20"/>
              </w:rPr>
              <w:t>in</w:t>
            </w:r>
            <w:proofErr w:type="spellEnd"/>
            <w:r w:rsidRPr="003346D1">
              <w:rPr>
                <w:rStyle w:val="apple-style-span"/>
                <w:i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rStyle w:val="apple-style-span"/>
                <w:i/>
                <w:sz w:val="20"/>
                <w:szCs w:val="20"/>
              </w:rPr>
              <w:t>Europe</w:t>
            </w:r>
            <w:proofErr w:type="spellEnd"/>
            <w:r w:rsidRPr="003346D1">
              <w:rPr>
                <w:rStyle w:val="apple-style-span"/>
                <w:i/>
                <w:sz w:val="20"/>
                <w:szCs w:val="20"/>
              </w:rPr>
              <w:t xml:space="preserve">: </w:t>
            </w:r>
            <w:proofErr w:type="spellStart"/>
            <w:r w:rsidRPr="003346D1">
              <w:rPr>
                <w:rStyle w:val="apple-style-span"/>
                <w:i/>
                <w:sz w:val="20"/>
                <w:szCs w:val="20"/>
              </w:rPr>
              <w:t>adaptation</w:t>
            </w:r>
            <w:proofErr w:type="spellEnd"/>
            <w:r w:rsidRPr="003346D1">
              <w:rPr>
                <w:rStyle w:val="apple-style-span"/>
                <w:i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rStyle w:val="apple-style-span"/>
                <w:i/>
                <w:sz w:val="20"/>
                <w:szCs w:val="20"/>
              </w:rPr>
              <w:t>and</w:t>
            </w:r>
            <w:proofErr w:type="spellEnd"/>
            <w:r w:rsidRPr="003346D1">
              <w:rPr>
                <w:rStyle w:val="apple-style-span"/>
                <w:i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rStyle w:val="apple-style-span"/>
                <w:i/>
                <w:sz w:val="20"/>
                <w:szCs w:val="20"/>
              </w:rPr>
              <w:t>alternatives</w:t>
            </w:r>
            <w:proofErr w:type="spellEnd"/>
            <w:r w:rsidRPr="003346D1">
              <w:rPr>
                <w:rStyle w:val="apple-style-span"/>
                <w:i/>
                <w:sz w:val="20"/>
                <w:szCs w:val="20"/>
              </w:rPr>
              <w:t>.</w:t>
            </w:r>
            <w:r w:rsidRPr="003346D1">
              <w:rPr>
                <w:rStyle w:val="apple-style-span"/>
                <w:sz w:val="20"/>
                <w:szCs w:val="20"/>
              </w:rPr>
              <w:t xml:space="preserve">   </w:t>
            </w:r>
            <w:proofErr w:type="spellStart"/>
            <w:r w:rsidRPr="003346D1">
              <w:rPr>
                <w:rStyle w:val="apple-style-span"/>
                <w:sz w:val="20"/>
                <w:szCs w:val="20"/>
              </w:rPr>
              <w:t>Basingstoke</w:t>
            </w:r>
            <w:proofErr w:type="spellEnd"/>
            <w:r w:rsidRPr="003346D1">
              <w:rPr>
                <w:rStyle w:val="apple-style-span"/>
                <w:sz w:val="20"/>
                <w:szCs w:val="20"/>
              </w:rPr>
              <w:t xml:space="preserve"> : </w:t>
            </w:r>
            <w:proofErr w:type="spellStart"/>
            <w:r w:rsidRPr="003346D1">
              <w:rPr>
                <w:rStyle w:val="apple-style-span"/>
                <w:sz w:val="20"/>
                <w:szCs w:val="20"/>
              </w:rPr>
              <w:t>Palgrave</w:t>
            </w:r>
            <w:proofErr w:type="spellEnd"/>
            <w:r w:rsidRPr="003346D1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rStyle w:val="apple-style-span"/>
                <w:sz w:val="20"/>
                <w:szCs w:val="20"/>
              </w:rPr>
              <w:t>Macmillan</w:t>
            </w:r>
            <w:proofErr w:type="spellEnd"/>
            <w:r w:rsidRPr="003346D1">
              <w:rPr>
                <w:rStyle w:val="apple-style-span"/>
                <w:sz w:val="20"/>
                <w:szCs w:val="20"/>
              </w:rPr>
              <w:t>, 2007</w:t>
            </w:r>
          </w:p>
          <w:p w:rsidR="00C731AA" w:rsidRPr="003346D1" w:rsidRDefault="00C731AA" w:rsidP="0032141B">
            <w:pPr>
              <w:ind w:left="360" w:hanging="360"/>
              <w:jc w:val="both"/>
              <w:rPr>
                <w:sz w:val="20"/>
                <w:szCs w:val="20"/>
              </w:rPr>
            </w:pPr>
            <w:proofErr w:type="spellStart"/>
            <w:r w:rsidRPr="003346D1">
              <w:rPr>
                <w:sz w:val="20"/>
                <w:szCs w:val="20"/>
              </w:rPr>
              <w:t>Koen</w:t>
            </w:r>
            <w:proofErr w:type="spellEnd"/>
            <w:r w:rsidRPr="003346D1">
              <w:rPr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sz w:val="20"/>
                <w:szCs w:val="20"/>
              </w:rPr>
              <w:t>Verhoest</w:t>
            </w:r>
            <w:proofErr w:type="spellEnd"/>
            <w:r w:rsidRPr="003346D1">
              <w:rPr>
                <w:sz w:val="20"/>
                <w:szCs w:val="20"/>
              </w:rPr>
              <w:t xml:space="preserve">, </w:t>
            </w:r>
            <w:proofErr w:type="spellStart"/>
            <w:r w:rsidRPr="003346D1">
              <w:rPr>
                <w:sz w:val="20"/>
                <w:szCs w:val="20"/>
              </w:rPr>
              <w:t>Paul</w:t>
            </w:r>
            <w:proofErr w:type="spellEnd"/>
            <w:r w:rsidRPr="003346D1">
              <w:rPr>
                <w:sz w:val="20"/>
                <w:szCs w:val="20"/>
              </w:rPr>
              <w:t xml:space="preserve"> G. </w:t>
            </w:r>
            <w:proofErr w:type="spellStart"/>
            <w:r w:rsidRPr="003346D1">
              <w:rPr>
                <w:sz w:val="20"/>
                <w:szCs w:val="20"/>
              </w:rPr>
              <w:t>Roness</w:t>
            </w:r>
            <w:proofErr w:type="spellEnd"/>
            <w:r w:rsidRPr="003346D1">
              <w:rPr>
                <w:sz w:val="20"/>
                <w:szCs w:val="20"/>
              </w:rPr>
              <w:t xml:space="preserve">, </w:t>
            </w:r>
            <w:proofErr w:type="spellStart"/>
            <w:r w:rsidRPr="003346D1">
              <w:rPr>
                <w:sz w:val="20"/>
                <w:szCs w:val="20"/>
              </w:rPr>
              <w:t>Bram</w:t>
            </w:r>
            <w:proofErr w:type="spellEnd"/>
            <w:r w:rsidRPr="003346D1">
              <w:rPr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sz w:val="20"/>
                <w:szCs w:val="20"/>
              </w:rPr>
              <w:t>Verschuere</w:t>
            </w:r>
            <w:proofErr w:type="spellEnd"/>
            <w:r w:rsidRPr="003346D1">
              <w:rPr>
                <w:sz w:val="20"/>
                <w:szCs w:val="20"/>
              </w:rPr>
              <w:t xml:space="preserve">, </w:t>
            </w:r>
            <w:proofErr w:type="spellStart"/>
            <w:r w:rsidRPr="003346D1">
              <w:rPr>
                <w:sz w:val="20"/>
                <w:szCs w:val="20"/>
              </w:rPr>
              <w:t>Kristin</w:t>
            </w:r>
            <w:proofErr w:type="spellEnd"/>
            <w:r w:rsidRPr="003346D1">
              <w:rPr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sz w:val="20"/>
                <w:szCs w:val="20"/>
              </w:rPr>
              <w:t>Rubecksen</w:t>
            </w:r>
            <w:proofErr w:type="spellEnd"/>
            <w:r w:rsidRPr="003346D1">
              <w:rPr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sz w:val="20"/>
                <w:szCs w:val="20"/>
              </w:rPr>
              <w:t>and</w:t>
            </w:r>
            <w:proofErr w:type="spellEnd"/>
            <w:r w:rsidRPr="003346D1">
              <w:rPr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sz w:val="20"/>
                <w:szCs w:val="20"/>
              </w:rPr>
              <w:t>Muiris</w:t>
            </w:r>
            <w:proofErr w:type="spellEnd"/>
            <w:r w:rsidRPr="003346D1">
              <w:rPr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sz w:val="20"/>
                <w:szCs w:val="20"/>
              </w:rPr>
              <w:t>MacCarthaigh</w:t>
            </w:r>
            <w:proofErr w:type="spellEnd"/>
            <w:r w:rsidRPr="003346D1">
              <w:rPr>
                <w:sz w:val="20"/>
                <w:szCs w:val="20"/>
              </w:rPr>
              <w:t xml:space="preserve">. </w:t>
            </w:r>
            <w:proofErr w:type="spellStart"/>
            <w:r w:rsidRPr="003346D1">
              <w:rPr>
                <w:i/>
                <w:iCs/>
                <w:sz w:val="20"/>
                <w:szCs w:val="20"/>
              </w:rPr>
              <w:t>Autonomy</w:t>
            </w:r>
            <w:proofErr w:type="spellEnd"/>
            <w:r w:rsidRPr="003346D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i/>
                <w:iCs/>
                <w:sz w:val="20"/>
                <w:szCs w:val="20"/>
              </w:rPr>
              <w:t>and</w:t>
            </w:r>
            <w:proofErr w:type="spellEnd"/>
            <w:r w:rsidRPr="003346D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i/>
                <w:iCs/>
                <w:sz w:val="20"/>
                <w:szCs w:val="20"/>
              </w:rPr>
              <w:t>Control</w:t>
            </w:r>
            <w:proofErr w:type="spellEnd"/>
            <w:r w:rsidRPr="003346D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i/>
                <w:iCs/>
                <w:sz w:val="20"/>
                <w:szCs w:val="20"/>
              </w:rPr>
              <w:t>of</w:t>
            </w:r>
            <w:proofErr w:type="spellEnd"/>
            <w:r w:rsidRPr="003346D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i/>
                <w:iCs/>
                <w:sz w:val="20"/>
                <w:szCs w:val="20"/>
              </w:rPr>
              <w:t>State</w:t>
            </w:r>
            <w:proofErr w:type="spellEnd"/>
            <w:r w:rsidRPr="003346D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i/>
                <w:iCs/>
                <w:sz w:val="20"/>
                <w:szCs w:val="20"/>
              </w:rPr>
              <w:t>Agencies</w:t>
            </w:r>
            <w:proofErr w:type="spellEnd"/>
            <w:r w:rsidRPr="003346D1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3346D1">
              <w:rPr>
                <w:i/>
                <w:iCs/>
                <w:sz w:val="20"/>
                <w:szCs w:val="20"/>
              </w:rPr>
              <w:t>Comparing</w:t>
            </w:r>
            <w:proofErr w:type="spellEnd"/>
            <w:r w:rsidRPr="003346D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i/>
                <w:iCs/>
                <w:sz w:val="20"/>
                <w:szCs w:val="20"/>
              </w:rPr>
              <w:t>States</w:t>
            </w:r>
            <w:proofErr w:type="spellEnd"/>
            <w:r w:rsidRPr="003346D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i/>
                <w:iCs/>
                <w:sz w:val="20"/>
                <w:szCs w:val="20"/>
              </w:rPr>
              <w:t>and</w:t>
            </w:r>
            <w:proofErr w:type="spellEnd"/>
            <w:r w:rsidRPr="003346D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i/>
                <w:iCs/>
                <w:sz w:val="20"/>
                <w:szCs w:val="20"/>
              </w:rPr>
              <w:t>Agencies</w:t>
            </w:r>
            <w:proofErr w:type="spellEnd"/>
            <w:r w:rsidRPr="003346D1">
              <w:rPr>
                <w:sz w:val="20"/>
                <w:szCs w:val="20"/>
              </w:rPr>
              <w:t xml:space="preserve">. </w:t>
            </w:r>
            <w:proofErr w:type="spellStart"/>
            <w:r w:rsidRPr="003346D1">
              <w:rPr>
                <w:sz w:val="20"/>
                <w:szCs w:val="20"/>
              </w:rPr>
              <w:t>Basingstoke</w:t>
            </w:r>
            <w:proofErr w:type="spellEnd"/>
            <w:r w:rsidRPr="003346D1">
              <w:rPr>
                <w:sz w:val="20"/>
                <w:szCs w:val="20"/>
              </w:rPr>
              <w:t xml:space="preserve">. </w:t>
            </w:r>
            <w:proofErr w:type="spellStart"/>
            <w:r w:rsidRPr="003346D1">
              <w:rPr>
                <w:sz w:val="20"/>
                <w:szCs w:val="20"/>
              </w:rPr>
              <w:t>Palgrave</w:t>
            </w:r>
            <w:proofErr w:type="spellEnd"/>
            <w:r w:rsidRPr="003346D1">
              <w:rPr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sz w:val="20"/>
                <w:szCs w:val="20"/>
              </w:rPr>
              <w:t>Macmillan</w:t>
            </w:r>
            <w:proofErr w:type="spellEnd"/>
            <w:r w:rsidRPr="003346D1">
              <w:rPr>
                <w:sz w:val="20"/>
                <w:szCs w:val="20"/>
              </w:rPr>
              <w:t>, 2010.</w:t>
            </w:r>
          </w:p>
          <w:p w:rsidR="00C731AA" w:rsidRPr="003346D1" w:rsidRDefault="00C731AA" w:rsidP="0032141B">
            <w:pPr>
              <w:jc w:val="both"/>
              <w:rPr>
                <w:sz w:val="20"/>
                <w:szCs w:val="20"/>
              </w:rPr>
            </w:pPr>
            <w:proofErr w:type="spellStart"/>
            <w:r w:rsidRPr="003346D1">
              <w:rPr>
                <w:sz w:val="20"/>
                <w:szCs w:val="20"/>
              </w:rPr>
              <w:t>Bouckaert</w:t>
            </w:r>
            <w:proofErr w:type="spellEnd"/>
            <w:r w:rsidRPr="003346D1">
              <w:rPr>
                <w:sz w:val="20"/>
                <w:szCs w:val="20"/>
              </w:rPr>
              <w:t xml:space="preserve">, G. </w:t>
            </w:r>
            <w:proofErr w:type="spellStart"/>
            <w:r w:rsidRPr="003346D1">
              <w:rPr>
                <w:sz w:val="20"/>
                <w:szCs w:val="20"/>
              </w:rPr>
              <w:t>and</w:t>
            </w:r>
            <w:proofErr w:type="spellEnd"/>
            <w:r w:rsidRPr="003346D1">
              <w:rPr>
                <w:sz w:val="20"/>
                <w:szCs w:val="20"/>
              </w:rPr>
              <w:t xml:space="preserve"> J. </w:t>
            </w:r>
            <w:proofErr w:type="spellStart"/>
            <w:r w:rsidRPr="003346D1">
              <w:rPr>
                <w:sz w:val="20"/>
                <w:szCs w:val="20"/>
              </w:rPr>
              <w:t>Halligan</w:t>
            </w:r>
            <w:proofErr w:type="spellEnd"/>
            <w:r w:rsidRPr="003346D1">
              <w:rPr>
                <w:sz w:val="20"/>
                <w:szCs w:val="20"/>
              </w:rPr>
              <w:t xml:space="preserve">. </w:t>
            </w:r>
            <w:proofErr w:type="spellStart"/>
            <w:r w:rsidRPr="003346D1">
              <w:rPr>
                <w:i/>
                <w:sz w:val="20"/>
                <w:szCs w:val="20"/>
              </w:rPr>
              <w:t>Managing</w:t>
            </w:r>
            <w:proofErr w:type="spellEnd"/>
            <w:r w:rsidRPr="003346D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i/>
                <w:sz w:val="20"/>
                <w:szCs w:val="20"/>
              </w:rPr>
              <w:t>Performance</w:t>
            </w:r>
            <w:proofErr w:type="spellEnd"/>
            <w:r w:rsidRPr="003346D1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3346D1">
              <w:rPr>
                <w:i/>
                <w:sz w:val="20"/>
                <w:szCs w:val="20"/>
              </w:rPr>
              <w:t>International</w:t>
            </w:r>
            <w:proofErr w:type="spellEnd"/>
            <w:r w:rsidRPr="003346D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i/>
                <w:sz w:val="20"/>
                <w:szCs w:val="20"/>
              </w:rPr>
              <w:t>Comparisons</w:t>
            </w:r>
            <w:proofErr w:type="spellEnd"/>
            <w:r w:rsidRPr="003346D1">
              <w:rPr>
                <w:i/>
                <w:sz w:val="20"/>
                <w:szCs w:val="20"/>
              </w:rPr>
              <w:t>.</w:t>
            </w:r>
            <w:r w:rsidRPr="003346D1">
              <w:rPr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sz w:val="20"/>
                <w:szCs w:val="20"/>
              </w:rPr>
              <w:t>Routledge</w:t>
            </w:r>
            <w:proofErr w:type="spellEnd"/>
            <w:r w:rsidRPr="003346D1">
              <w:rPr>
                <w:sz w:val="20"/>
                <w:szCs w:val="20"/>
              </w:rPr>
              <w:t xml:space="preserve">, 2008. </w:t>
            </w:r>
          </w:p>
          <w:p w:rsidR="00C731AA" w:rsidRPr="003346D1" w:rsidRDefault="00C731AA" w:rsidP="0032141B">
            <w:pPr>
              <w:jc w:val="both"/>
              <w:rPr>
                <w:sz w:val="22"/>
                <w:szCs w:val="22"/>
              </w:rPr>
            </w:pPr>
            <w:proofErr w:type="spellStart"/>
            <w:r w:rsidRPr="003346D1">
              <w:rPr>
                <w:rFonts w:ascii="Palatino-Roman" w:hAnsi="Palatino-Roman" w:cs="Palatino-Roman"/>
                <w:sz w:val="20"/>
                <w:szCs w:val="20"/>
              </w:rPr>
              <w:t>L¨offler</w:t>
            </w:r>
            <w:proofErr w:type="spellEnd"/>
            <w:r w:rsidRPr="003346D1">
              <w:rPr>
                <w:rFonts w:ascii="Palatino-Roman" w:hAnsi="Palatino-Roman" w:cs="Palatino-Roman"/>
                <w:sz w:val="20"/>
                <w:szCs w:val="20"/>
              </w:rPr>
              <w:t xml:space="preserve">, E. </w:t>
            </w:r>
            <w:proofErr w:type="spellStart"/>
            <w:r w:rsidRPr="003346D1">
              <w:rPr>
                <w:rFonts w:ascii="Palatino-Roman" w:hAnsi="Palatino-Roman" w:cs="Palatino-Roman"/>
                <w:sz w:val="20"/>
                <w:szCs w:val="20"/>
              </w:rPr>
              <w:t>and</w:t>
            </w:r>
            <w:proofErr w:type="spellEnd"/>
            <w:r w:rsidRPr="003346D1">
              <w:rPr>
                <w:rFonts w:ascii="Palatino-Roman" w:hAnsi="Palatino-Roman" w:cs="Palatino-Roman"/>
                <w:sz w:val="20"/>
                <w:szCs w:val="20"/>
              </w:rPr>
              <w:t xml:space="preserve"> M. </w:t>
            </w:r>
            <w:proofErr w:type="spellStart"/>
            <w:r w:rsidRPr="003346D1">
              <w:rPr>
                <w:rFonts w:ascii="Palatino-Roman" w:hAnsi="Palatino-Roman" w:cs="Palatino-Roman"/>
                <w:sz w:val="20"/>
                <w:szCs w:val="20"/>
              </w:rPr>
              <w:t>Vintar</w:t>
            </w:r>
            <w:proofErr w:type="spellEnd"/>
            <w:r w:rsidRPr="003346D1">
              <w:rPr>
                <w:rFonts w:ascii="Palatino-Roman" w:hAnsi="Palatino-Roman" w:cs="Palatino-Roman"/>
                <w:sz w:val="20"/>
                <w:szCs w:val="20"/>
              </w:rPr>
              <w:t xml:space="preserve"> (</w:t>
            </w:r>
            <w:proofErr w:type="spellStart"/>
            <w:r w:rsidRPr="003346D1">
              <w:rPr>
                <w:rFonts w:ascii="Palatino-Roman" w:hAnsi="Palatino-Roman" w:cs="Palatino-Roman"/>
                <w:sz w:val="20"/>
                <w:szCs w:val="20"/>
              </w:rPr>
              <w:t>eds</w:t>
            </w:r>
            <w:proofErr w:type="spellEnd"/>
            <w:r w:rsidRPr="003346D1">
              <w:rPr>
                <w:rFonts w:ascii="Palatino-Roman" w:hAnsi="Palatino-Roman" w:cs="Palatino-Roman"/>
                <w:sz w:val="20"/>
                <w:szCs w:val="20"/>
              </w:rPr>
              <w:t xml:space="preserve">). 2004. </w:t>
            </w:r>
            <w:proofErr w:type="spellStart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>Improving</w:t>
            </w:r>
            <w:proofErr w:type="spellEnd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>the</w:t>
            </w:r>
            <w:proofErr w:type="spellEnd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>Quality</w:t>
            </w:r>
            <w:proofErr w:type="spellEnd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>of</w:t>
            </w:r>
            <w:proofErr w:type="spellEnd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>East</w:t>
            </w:r>
            <w:proofErr w:type="spellEnd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>and</w:t>
            </w:r>
            <w:proofErr w:type="spellEnd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>West</w:t>
            </w:r>
            <w:proofErr w:type="spellEnd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>European</w:t>
            </w:r>
            <w:proofErr w:type="spellEnd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>Public</w:t>
            </w:r>
            <w:proofErr w:type="spellEnd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346D1">
              <w:rPr>
                <w:rFonts w:ascii="Palatino-Italic" w:hAnsi="Palatino-Italic" w:cs="Palatino-Italic"/>
                <w:i/>
                <w:iCs/>
                <w:sz w:val="20"/>
                <w:szCs w:val="20"/>
              </w:rPr>
              <w:t>Services</w:t>
            </w:r>
            <w:proofErr w:type="spellEnd"/>
            <w:r w:rsidRPr="003346D1">
              <w:rPr>
                <w:rFonts w:ascii="Palatino-Roman" w:hAnsi="Palatino-Roman" w:cs="Palatino-Roman"/>
                <w:sz w:val="20"/>
                <w:szCs w:val="20"/>
              </w:rPr>
              <w:t xml:space="preserve">. </w:t>
            </w:r>
            <w:proofErr w:type="spellStart"/>
            <w:r w:rsidRPr="003346D1">
              <w:rPr>
                <w:rFonts w:ascii="Palatino-Roman" w:hAnsi="Palatino-Roman" w:cs="Palatino-Roman"/>
                <w:sz w:val="20"/>
                <w:szCs w:val="20"/>
              </w:rPr>
              <w:t>Aldershot</w:t>
            </w:r>
            <w:proofErr w:type="spellEnd"/>
            <w:r w:rsidRPr="003346D1">
              <w:rPr>
                <w:rFonts w:ascii="Palatino-Roman" w:hAnsi="Palatino-Roman" w:cs="Palatino-Roman"/>
                <w:sz w:val="20"/>
                <w:szCs w:val="20"/>
              </w:rPr>
              <w:t xml:space="preserve">: </w:t>
            </w:r>
            <w:proofErr w:type="spellStart"/>
            <w:r w:rsidRPr="003346D1">
              <w:rPr>
                <w:rFonts w:ascii="Palatino-Roman" w:hAnsi="Palatino-Roman" w:cs="Palatino-Roman"/>
                <w:sz w:val="20"/>
                <w:szCs w:val="20"/>
              </w:rPr>
              <w:t>Ashgate</w:t>
            </w:r>
            <w:proofErr w:type="spellEnd"/>
            <w:r w:rsidRPr="003346D1">
              <w:rPr>
                <w:rFonts w:ascii="Palatino-Roman" w:hAnsi="Palatino-Roman" w:cs="Palatino-Roman"/>
                <w:sz w:val="20"/>
                <w:szCs w:val="20"/>
              </w:rPr>
              <w:t>.</w:t>
            </w:r>
          </w:p>
        </w:tc>
      </w:tr>
      <w:tr w:rsidR="00C731AA" w:rsidRPr="00B603C4" w:rsidTr="00321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1AA" w:rsidRPr="00B603C4" w:rsidRDefault="00C731AA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lastRenderedPageBreak/>
              <w:t>Konsultuojančiųjų dėstytojų vardas, pavardė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1AA" w:rsidRPr="00B603C4" w:rsidRDefault="00C731AA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mokslo</w:t>
            </w:r>
          </w:p>
          <w:p w:rsidR="00C731AA" w:rsidRPr="00B603C4" w:rsidRDefault="00C731AA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laipsnis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1AA" w:rsidRPr="00B603C4" w:rsidRDefault="00C731AA" w:rsidP="0032141B">
            <w:pPr>
              <w:rPr>
                <w:sz w:val="20"/>
                <w:szCs w:val="20"/>
              </w:rPr>
            </w:pPr>
            <w:proofErr w:type="spellStart"/>
            <w:r w:rsidRPr="00B603C4">
              <w:rPr>
                <w:sz w:val="20"/>
                <w:szCs w:val="20"/>
              </w:rPr>
              <w:t>pedag</w:t>
            </w:r>
            <w:proofErr w:type="spellEnd"/>
            <w:r w:rsidRPr="00B603C4">
              <w:rPr>
                <w:sz w:val="20"/>
                <w:szCs w:val="20"/>
              </w:rPr>
              <w:t>.</w:t>
            </w:r>
          </w:p>
          <w:p w:rsidR="00C731AA" w:rsidRPr="00B603C4" w:rsidRDefault="00C731AA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Vardas</w:t>
            </w:r>
          </w:p>
        </w:tc>
        <w:tc>
          <w:tcPr>
            <w:tcW w:w="5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1AA" w:rsidRPr="00B603C4" w:rsidRDefault="00C731AA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Svarbiausieji  darbai mokslo kryptyje (šakoje) paskelbti per pastaruosius 5 metus</w:t>
            </w:r>
          </w:p>
        </w:tc>
      </w:tr>
      <w:tr w:rsidR="00C731AA" w:rsidRPr="00B603C4" w:rsidTr="00FD0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0" w:type="dxa"/>
            <w:tcBorders>
              <w:left w:val="single" w:sz="12" w:space="0" w:color="auto"/>
              <w:bottom w:val="single" w:sz="8" w:space="0" w:color="auto"/>
            </w:tcBorders>
          </w:tcPr>
          <w:p w:rsidR="00C731AA" w:rsidRPr="00B603C4" w:rsidRDefault="00C731AA" w:rsidP="0032141B">
            <w:pPr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 xml:space="preserve">Vitalis Nakrošis </w:t>
            </w:r>
          </w:p>
        </w:tc>
        <w:tc>
          <w:tcPr>
            <w:tcW w:w="96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731AA" w:rsidRPr="00B603C4" w:rsidRDefault="00C731AA" w:rsidP="0032141B">
            <w:pPr>
              <w:jc w:val="center"/>
              <w:rPr>
                <w:sz w:val="20"/>
                <w:szCs w:val="20"/>
              </w:rPr>
            </w:pPr>
            <w:r w:rsidRPr="00B603C4">
              <w:rPr>
                <w:sz w:val="20"/>
                <w:szCs w:val="20"/>
              </w:rPr>
              <w:t>Dr.</w:t>
            </w:r>
          </w:p>
        </w:tc>
        <w:tc>
          <w:tcPr>
            <w:tcW w:w="960" w:type="dxa"/>
            <w:gridSpan w:val="2"/>
            <w:tcBorders>
              <w:left w:val="nil"/>
              <w:bottom w:val="single" w:sz="8" w:space="0" w:color="auto"/>
            </w:tcBorders>
          </w:tcPr>
          <w:p w:rsidR="00C731AA" w:rsidRPr="00B603C4" w:rsidRDefault="00C731AA" w:rsidP="00321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</w:t>
            </w:r>
          </w:p>
        </w:tc>
        <w:tc>
          <w:tcPr>
            <w:tcW w:w="5880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A52BB" w:rsidRPr="005A52BB" w:rsidRDefault="005A52BB" w:rsidP="005A52BB">
            <w:pPr>
              <w:ind w:left="252" w:hanging="252"/>
              <w:rPr>
                <w:rStyle w:val="apple-style-span"/>
                <w:sz w:val="20"/>
                <w:szCs w:val="20"/>
              </w:rPr>
            </w:pPr>
            <w:r w:rsidRPr="005A52BB">
              <w:rPr>
                <w:rStyle w:val="apple-style-span"/>
                <w:sz w:val="20"/>
                <w:szCs w:val="20"/>
              </w:rPr>
              <w:t>R. Vilpišauskas, V. Nakrošis, V. Kuokštis, „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The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Politics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of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Reacting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to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the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Crisis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in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Lithuania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from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2008-2013: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Exiting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the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Crisis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,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Entering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Politics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Usual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?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In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K.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Bukovskis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(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ed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.)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The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Politics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of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Economic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Sustainability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: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Baltic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and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Visegrad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Responses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to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the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European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Economic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Crisis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.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Latvian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Institute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of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International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Affairs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,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Riga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>, 2014.</w:t>
            </w:r>
          </w:p>
          <w:p w:rsidR="005A52BB" w:rsidRPr="005A52BB" w:rsidRDefault="005A52BB" w:rsidP="005A52BB">
            <w:pPr>
              <w:ind w:left="252" w:hanging="252"/>
              <w:rPr>
                <w:rStyle w:val="apple-style-span"/>
                <w:sz w:val="20"/>
                <w:szCs w:val="20"/>
              </w:rPr>
            </w:pPr>
            <w:r w:rsidRPr="005A52BB">
              <w:rPr>
                <w:rStyle w:val="apple-style-span"/>
                <w:sz w:val="20"/>
                <w:szCs w:val="20"/>
              </w:rPr>
              <w:t xml:space="preserve">V.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Nakrošis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>, “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Theory-based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evaluation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of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capacity-building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interventions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”.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Evaluation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, 2014,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Vol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>. 20(1) 134–150.</w:t>
            </w:r>
          </w:p>
          <w:p w:rsidR="005A52BB" w:rsidRPr="005A52BB" w:rsidRDefault="005A52BB" w:rsidP="005A52BB">
            <w:pPr>
              <w:ind w:left="252" w:hanging="252"/>
              <w:rPr>
                <w:rStyle w:val="apple-style-span"/>
                <w:sz w:val="20"/>
                <w:szCs w:val="20"/>
              </w:rPr>
            </w:pPr>
            <w:r w:rsidRPr="005A52BB">
              <w:rPr>
                <w:rStyle w:val="apple-style-span"/>
                <w:sz w:val="20"/>
                <w:szCs w:val="20"/>
              </w:rPr>
              <w:t>V. Nakrošis, L. Gudžinskas. “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Party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patronage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and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state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politicization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in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the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post-communist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countries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of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Central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and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Eastern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Europe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: a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game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theory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approach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".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The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NISPACEE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Journal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of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Public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Administration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and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Policy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,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special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issue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, 2012, XX-XX. </w:t>
            </w:r>
          </w:p>
          <w:p w:rsidR="005A52BB" w:rsidRPr="005A52BB" w:rsidRDefault="005A52BB" w:rsidP="005A52BB">
            <w:pPr>
              <w:ind w:left="252" w:hanging="252"/>
              <w:rPr>
                <w:rStyle w:val="apple-style-span"/>
                <w:sz w:val="20"/>
                <w:szCs w:val="20"/>
              </w:rPr>
            </w:pPr>
            <w:r w:rsidRPr="005A52BB">
              <w:rPr>
                <w:rStyle w:val="apple-style-span"/>
                <w:sz w:val="20"/>
                <w:szCs w:val="20"/>
              </w:rPr>
              <w:t>V. Nakrošis, M. Budraitis. “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Longitudinal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change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of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Lithuanian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agencies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: 1990-2010”.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International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Journal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of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Public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Administration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, 2012, 35:12, 820-831. </w:t>
            </w:r>
          </w:p>
          <w:p w:rsidR="005A52BB" w:rsidRPr="005A52BB" w:rsidRDefault="005A52BB" w:rsidP="005A52BB">
            <w:pPr>
              <w:ind w:left="252" w:hanging="252"/>
              <w:rPr>
                <w:rStyle w:val="apple-style-span"/>
                <w:sz w:val="20"/>
                <w:szCs w:val="20"/>
              </w:rPr>
            </w:pPr>
            <w:r w:rsidRPr="005A52BB">
              <w:rPr>
                <w:rStyle w:val="apple-style-span"/>
                <w:sz w:val="20"/>
                <w:szCs w:val="20"/>
              </w:rPr>
              <w:t>V. Nakrošis, Ž. Martinaitis (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eds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),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The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organisation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,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autonomy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,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control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and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performance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of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the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Lithuanian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agencies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and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other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public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sector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organisations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, Vilnius: Vilnius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University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, 2011. </w:t>
            </w:r>
          </w:p>
          <w:p w:rsidR="005A52BB" w:rsidRPr="005A52BB" w:rsidRDefault="005A52BB" w:rsidP="005A52BB">
            <w:pPr>
              <w:ind w:left="252" w:hanging="252"/>
              <w:rPr>
                <w:rStyle w:val="apple-style-span"/>
                <w:sz w:val="20"/>
                <w:szCs w:val="20"/>
              </w:rPr>
            </w:pPr>
            <w:r w:rsidRPr="005A52BB">
              <w:rPr>
                <w:rStyle w:val="apple-style-span"/>
                <w:sz w:val="20"/>
                <w:szCs w:val="20"/>
              </w:rPr>
              <w:t xml:space="preserve">T.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Randma-Liiv,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V. Nakrošis, G.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Hajnal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>, „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Public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sector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organization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in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Central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and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Eastern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Europe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: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from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agencification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to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de-agencification“.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Transylvanian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Review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of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Administrative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Sciences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,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special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issue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>: 2011, 160-175.</w:t>
            </w:r>
          </w:p>
          <w:p w:rsidR="005A52BB" w:rsidRPr="005A52BB" w:rsidRDefault="005A52BB" w:rsidP="005A52BB">
            <w:pPr>
              <w:ind w:left="252" w:hanging="252"/>
              <w:rPr>
                <w:rStyle w:val="apple-style-span"/>
                <w:sz w:val="20"/>
                <w:szCs w:val="20"/>
              </w:rPr>
            </w:pPr>
            <w:r w:rsidRPr="005A52BB">
              <w:rPr>
                <w:rStyle w:val="apple-style-span"/>
                <w:sz w:val="20"/>
                <w:szCs w:val="20"/>
              </w:rPr>
              <w:t>V. Nakrošis, Ž. Martinaitis, „“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Sunrise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”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and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“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Sunset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”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of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the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Lithuanian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Agencies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“,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Transylvanian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Review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of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Administrative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Sciences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,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special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issue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>: 2011, 93-114.</w:t>
            </w:r>
          </w:p>
          <w:p w:rsidR="005A52BB" w:rsidRPr="005A52BB" w:rsidRDefault="005A52BB" w:rsidP="005A52BB">
            <w:pPr>
              <w:ind w:left="252" w:hanging="252"/>
              <w:rPr>
                <w:rStyle w:val="apple-style-span"/>
                <w:sz w:val="20"/>
                <w:szCs w:val="20"/>
              </w:rPr>
            </w:pPr>
            <w:r w:rsidRPr="005A52BB">
              <w:rPr>
                <w:rStyle w:val="apple-style-span"/>
                <w:sz w:val="20"/>
                <w:szCs w:val="20"/>
              </w:rPr>
              <w:t>V. Nakrošis, Ž. Martinaitis, „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Lithuania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”,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in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Geert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Bouckaert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, Per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Laegreid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, Sandra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van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Thiel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and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Koen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Verhoest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(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eds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),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Government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Agencies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: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Practices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and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Lessons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from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30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Countries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,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Palgrave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Macmillan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>, 2011.</w:t>
            </w:r>
          </w:p>
          <w:p w:rsidR="005A52BB" w:rsidRPr="005A52BB" w:rsidRDefault="005A52BB" w:rsidP="005A52BB">
            <w:pPr>
              <w:ind w:left="252" w:hanging="252"/>
              <w:rPr>
                <w:rStyle w:val="apple-style-span"/>
                <w:sz w:val="20"/>
                <w:szCs w:val="20"/>
              </w:rPr>
            </w:pPr>
            <w:r w:rsidRPr="005A52BB">
              <w:rPr>
                <w:rStyle w:val="apple-style-span"/>
                <w:sz w:val="20"/>
                <w:szCs w:val="20"/>
              </w:rPr>
              <w:t xml:space="preserve">T.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Randma-Liiv,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V.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Nakrošis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and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G.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Hajnal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>, “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Comparing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Agencification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in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CEE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States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”,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in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Geert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Bouckaert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, Per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Laegreid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, Sandra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van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Thiel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and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Koen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Verhoest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(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eds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),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Government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Agencies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: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Practices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and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Lessons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from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30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Countries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,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Palgrave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Macmillan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, 2011. </w:t>
            </w:r>
          </w:p>
          <w:p w:rsidR="005A52BB" w:rsidRPr="005A52BB" w:rsidRDefault="005A52BB" w:rsidP="005A52BB">
            <w:pPr>
              <w:ind w:left="252" w:hanging="252"/>
              <w:rPr>
                <w:rStyle w:val="apple-style-span"/>
                <w:sz w:val="20"/>
                <w:szCs w:val="20"/>
              </w:rPr>
            </w:pPr>
            <w:r w:rsidRPr="005A52BB">
              <w:rPr>
                <w:rStyle w:val="apple-style-span"/>
                <w:sz w:val="20"/>
                <w:szCs w:val="20"/>
              </w:rPr>
              <w:t xml:space="preserve">G.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Bouckaert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, V.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Nakrošis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and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J.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Nemec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>, “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Public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Administration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and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Management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Reforms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in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CEE: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Main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Trajectories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and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Results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”. 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The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NISPACEE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Journal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of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Public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Administration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and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Policy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, IV (1), 2011, p. 9-29. </w:t>
            </w:r>
          </w:p>
          <w:p w:rsidR="005A52BB" w:rsidRPr="005A52BB" w:rsidRDefault="005A52BB" w:rsidP="005A52BB">
            <w:pPr>
              <w:ind w:left="252" w:hanging="252"/>
              <w:rPr>
                <w:rStyle w:val="apple-style-span"/>
                <w:sz w:val="20"/>
                <w:szCs w:val="20"/>
              </w:rPr>
            </w:pPr>
            <w:r w:rsidRPr="005A52BB">
              <w:rPr>
                <w:rStyle w:val="apple-style-span"/>
                <w:sz w:val="20"/>
                <w:szCs w:val="20"/>
              </w:rPr>
              <w:t xml:space="preserve">V.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Nakrošis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>, „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Public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management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reforms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: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Lithuania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“,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Public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management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reforms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in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Central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and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Eastern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Europe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,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edited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by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Geert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Bouckaert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, Vitalis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Nakrošis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,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Gyorgy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Hajnal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,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Kristiina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Tonnisson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. Bratislava: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NISPAcee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press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, 2009. </w:t>
            </w:r>
          </w:p>
          <w:p w:rsidR="005A52BB" w:rsidRPr="005A52BB" w:rsidRDefault="005A52BB" w:rsidP="005A52BB">
            <w:pPr>
              <w:ind w:left="252" w:hanging="252"/>
              <w:rPr>
                <w:rStyle w:val="apple-style-span"/>
                <w:sz w:val="20"/>
                <w:szCs w:val="20"/>
              </w:rPr>
            </w:pPr>
            <w:r w:rsidRPr="005A52BB">
              <w:rPr>
                <w:rStyle w:val="apple-style-span"/>
                <w:sz w:val="20"/>
                <w:szCs w:val="20"/>
              </w:rPr>
              <w:t xml:space="preserve">V.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Nakrošis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>, „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Lithuania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“, EU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cohesion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policy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after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enlargement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. D.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Marek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and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M.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Baun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(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eds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) .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Palgrave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Macmillan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, 2008. </w:t>
            </w:r>
          </w:p>
          <w:p w:rsidR="00C731AA" w:rsidRPr="00B603C4" w:rsidRDefault="005A52BB" w:rsidP="005A52BB">
            <w:pPr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5A52BB">
              <w:rPr>
                <w:rStyle w:val="apple-style-span"/>
                <w:sz w:val="20"/>
                <w:szCs w:val="20"/>
              </w:rPr>
              <w:t xml:space="preserve">V.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Nakrošis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>, „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Reforming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Performance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Management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in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Lithuania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: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Towards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Result-Based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Management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”.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Mixes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,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Matches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and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Mistakes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: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new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public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management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in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Russia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and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the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Former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Soviet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Republics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(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ed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. B. G.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Peters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).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Open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Society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 xml:space="preserve"> Institute, </w:t>
            </w:r>
            <w:proofErr w:type="spellStart"/>
            <w:r w:rsidRPr="005A52BB">
              <w:rPr>
                <w:rStyle w:val="apple-style-span"/>
                <w:sz w:val="20"/>
                <w:szCs w:val="20"/>
              </w:rPr>
              <w:t>Budapest</w:t>
            </w:r>
            <w:proofErr w:type="spellEnd"/>
            <w:r w:rsidRPr="005A52BB">
              <w:rPr>
                <w:rStyle w:val="apple-style-span"/>
                <w:sz w:val="20"/>
                <w:szCs w:val="20"/>
              </w:rPr>
              <w:t>, 2008.</w:t>
            </w:r>
          </w:p>
        </w:tc>
      </w:tr>
      <w:tr w:rsidR="00C731AA" w:rsidRPr="00B603C4" w:rsidTr="00321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C731AA" w:rsidRPr="00B603C4" w:rsidRDefault="00C731AA" w:rsidP="00321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Žilvinas Martinaitis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31AA" w:rsidRPr="00B603C4" w:rsidRDefault="00C731AA" w:rsidP="003214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</w:tcBorders>
          </w:tcPr>
          <w:p w:rsidR="00C731AA" w:rsidRPr="00B603C4" w:rsidRDefault="00C731AA" w:rsidP="00321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7AE" w:rsidRPr="00D177AE" w:rsidRDefault="00D177AE" w:rsidP="00D177AE">
            <w:pPr>
              <w:pStyle w:val="NormalWeb"/>
              <w:rPr>
                <w:sz w:val="20"/>
                <w:szCs w:val="20"/>
              </w:rPr>
            </w:pPr>
            <w:r w:rsidRPr="00D177AE">
              <w:rPr>
                <w:sz w:val="20"/>
                <w:szCs w:val="20"/>
              </w:rPr>
              <w:t>Žilvinas Martinaitis, „</w:t>
            </w:r>
            <w:proofErr w:type="spellStart"/>
            <w:r w:rsidRPr="00D177AE">
              <w:rPr>
                <w:sz w:val="20"/>
                <w:szCs w:val="20"/>
              </w:rPr>
              <w:t>Employers</w:t>
            </w:r>
            <w:proofErr w:type="spellEnd"/>
            <w:r w:rsidRPr="00D177AE">
              <w:rPr>
                <w:sz w:val="20"/>
                <w:szCs w:val="20"/>
              </w:rPr>
              <w:t xml:space="preserve">’ </w:t>
            </w:r>
            <w:proofErr w:type="spellStart"/>
            <w:r w:rsidRPr="00D177AE">
              <w:rPr>
                <w:sz w:val="20"/>
                <w:szCs w:val="20"/>
              </w:rPr>
              <w:t>investment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in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skills</w:t>
            </w:r>
            <w:proofErr w:type="spellEnd"/>
            <w:r w:rsidRPr="00D177AE">
              <w:rPr>
                <w:sz w:val="20"/>
                <w:szCs w:val="20"/>
              </w:rPr>
              <w:t xml:space="preserve">: </w:t>
            </w:r>
            <w:proofErr w:type="spellStart"/>
            <w:r w:rsidRPr="00D177AE">
              <w:rPr>
                <w:sz w:val="20"/>
                <w:szCs w:val="20"/>
              </w:rPr>
              <w:t>test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of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skills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portability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argument</w:t>
            </w:r>
            <w:proofErr w:type="spellEnd"/>
            <w:r w:rsidRPr="00D177AE">
              <w:rPr>
                <w:sz w:val="20"/>
                <w:szCs w:val="20"/>
              </w:rPr>
              <w:t xml:space="preserve">“, </w:t>
            </w:r>
            <w:proofErr w:type="spellStart"/>
            <w:r w:rsidRPr="00D177AE">
              <w:rPr>
                <w:i/>
                <w:sz w:val="20"/>
                <w:szCs w:val="20"/>
              </w:rPr>
              <w:t>Social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Sciences</w:t>
            </w:r>
            <w:proofErr w:type="spellEnd"/>
            <w:r w:rsidRPr="00D177AE">
              <w:rPr>
                <w:sz w:val="20"/>
                <w:szCs w:val="20"/>
              </w:rPr>
              <w:t xml:space="preserve">, </w:t>
            </w:r>
            <w:proofErr w:type="spellStart"/>
            <w:r w:rsidRPr="00D177AE">
              <w:rPr>
                <w:sz w:val="20"/>
                <w:szCs w:val="20"/>
              </w:rPr>
              <w:t>No</w:t>
            </w:r>
            <w:proofErr w:type="spellEnd"/>
            <w:r w:rsidRPr="00D177AE">
              <w:rPr>
                <w:sz w:val="20"/>
                <w:szCs w:val="20"/>
              </w:rPr>
              <w:t>. 2 (84), 2014;</w:t>
            </w:r>
          </w:p>
          <w:p w:rsidR="00D177AE" w:rsidRPr="00D177AE" w:rsidRDefault="00D177AE" w:rsidP="00D177AE">
            <w:pPr>
              <w:pStyle w:val="NormalWeb"/>
              <w:rPr>
                <w:sz w:val="20"/>
                <w:szCs w:val="20"/>
              </w:rPr>
            </w:pPr>
            <w:r w:rsidRPr="00D177AE">
              <w:rPr>
                <w:sz w:val="20"/>
                <w:szCs w:val="20"/>
              </w:rPr>
              <w:t xml:space="preserve">Martinaitis, Žilvinas, “Kai reformos susitinka institucijas: aukštųjų mokyklų valdymo ir finansavimo reformų atvejis” kn. P. Subačius (red.) Reforma Lietuvoje: Įžvalgos apie mokslo ir studijų pertvarką, Vilnius: Alma </w:t>
            </w:r>
            <w:proofErr w:type="spellStart"/>
            <w:r w:rsidRPr="00D177AE">
              <w:rPr>
                <w:sz w:val="20"/>
                <w:szCs w:val="20"/>
              </w:rPr>
              <w:t>Littera</w:t>
            </w:r>
            <w:proofErr w:type="spellEnd"/>
            <w:r w:rsidRPr="00D177AE">
              <w:rPr>
                <w:sz w:val="20"/>
                <w:szCs w:val="20"/>
              </w:rPr>
              <w:t>, 2014;</w:t>
            </w:r>
          </w:p>
          <w:p w:rsidR="00D177AE" w:rsidRPr="00D177AE" w:rsidRDefault="00D177AE" w:rsidP="00D177AE">
            <w:pPr>
              <w:pStyle w:val="NormalWeb"/>
              <w:rPr>
                <w:sz w:val="20"/>
                <w:szCs w:val="20"/>
              </w:rPr>
            </w:pPr>
            <w:r w:rsidRPr="00D177AE">
              <w:rPr>
                <w:sz w:val="20"/>
                <w:szCs w:val="20"/>
              </w:rPr>
              <w:lastRenderedPageBreak/>
              <w:t>Martinaitis Žilvinas, "</w:t>
            </w:r>
            <w:proofErr w:type="spellStart"/>
            <w:r w:rsidRPr="00D177AE">
              <w:rPr>
                <w:sz w:val="20"/>
                <w:szCs w:val="20"/>
              </w:rPr>
              <w:t>Measuring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skills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in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Europe</w:t>
            </w:r>
            <w:proofErr w:type="spellEnd"/>
            <w:r w:rsidRPr="00D177AE">
              <w:rPr>
                <w:sz w:val="20"/>
                <w:szCs w:val="20"/>
              </w:rPr>
              <w:t xml:space="preserve">“, </w:t>
            </w:r>
            <w:proofErr w:type="spellStart"/>
            <w:r w:rsidRPr="00D177AE">
              <w:rPr>
                <w:i/>
                <w:sz w:val="20"/>
                <w:szCs w:val="20"/>
              </w:rPr>
              <w:t>European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Journal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of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Training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and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Development</w:t>
            </w:r>
            <w:proofErr w:type="spellEnd"/>
            <w:r w:rsidRPr="00D177AE">
              <w:rPr>
                <w:sz w:val="20"/>
                <w:szCs w:val="20"/>
              </w:rPr>
              <w:t xml:space="preserve">, </w:t>
            </w:r>
            <w:proofErr w:type="spellStart"/>
            <w:r w:rsidRPr="00D177AE">
              <w:rPr>
                <w:sz w:val="20"/>
                <w:szCs w:val="20"/>
              </w:rPr>
              <w:t>Vol</w:t>
            </w:r>
            <w:proofErr w:type="spellEnd"/>
            <w:r w:rsidRPr="00D177AE">
              <w:rPr>
                <w:sz w:val="20"/>
                <w:szCs w:val="20"/>
              </w:rPr>
              <w:t xml:space="preserve">. 38 (3), 2014, </w:t>
            </w:r>
            <w:proofErr w:type="spellStart"/>
            <w:r w:rsidRPr="00D177AE">
              <w:rPr>
                <w:sz w:val="20"/>
                <w:szCs w:val="20"/>
              </w:rPr>
              <w:t>pp</w:t>
            </w:r>
            <w:proofErr w:type="spellEnd"/>
            <w:r w:rsidRPr="00D177AE">
              <w:rPr>
                <w:sz w:val="20"/>
                <w:szCs w:val="20"/>
              </w:rPr>
              <w:t xml:space="preserve">. 198 – 210. </w:t>
            </w:r>
          </w:p>
          <w:p w:rsidR="00D177AE" w:rsidRPr="00D177AE" w:rsidRDefault="00D177AE" w:rsidP="00D177AE">
            <w:pPr>
              <w:pStyle w:val="NormalWeb"/>
              <w:rPr>
                <w:sz w:val="20"/>
                <w:szCs w:val="20"/>
              </w:rPr>
            </w:pPr>
            <w:r w:rsidRPr="00D177AE">
              <w:rPr>
                <w:sz w:val="20"/>
                <w:szCs w:val="20"/>
              </w:rPr>
              <w:t>Martinaitis Žilvinas., “</w:t>
            </w:r>
            <w:proofErr w:type="spellStart"/>
            <w:r w:rsidRPr="00D177AE">
              <w:rPr>
                <w:sz w:val="20"/>
                <w:szCs w:val="20"/>
              </w:rPr>
              <w:t>Forecasting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Skills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Demand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and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Labour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Market</w:t>
            </w:r>
            <w:proofErr w:type="spellEnd"/>
            <w:r w:rsidRPr="00D177AE">
              <w:rPr>
                <w:sz w:val="20"/>
                <w:szCs w:val="20"/>
              </w:rPr>
              <w:t xml:space="preserve"> Dynamics </w:t>
            </w:r>
            <w:proofErr w:type="spellStart"/>
            <w:r w:rsidRPr="00D177AE">
              <w:rPr>
                <w:sz w:val="20"/>
                <w:szCs w:val="20"/>
              </w:rPr>
              <w:t>in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the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Baltic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States</w:t>
            </w:r>
            <w:proofErr w:type="spellEnd"/>
            <w:r w:rsidRPr="00D177AE">
              <w:rPr>
                <w:sz w:val="20"/>
                <w:szCs w:val="20"/>
              </w:rPr>
              <w:t xml:space="preserve">”, </w:t>
            </w:r>
            <w:proofErr w:type="spellStart"/>
            <w:r w:rsidRPr="00D177AE">
              <w:rPr>
                <w:sz w:val="20"/>
                <w:szCs w:val="20"/>
              </w:rPr>
              <w:t>Building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on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Skills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Forecasts</w:t>
            </w:r>
            <w:proofErr w:type="spellEnd"/>
            <w:r w:rsidRPr="00D177AE">
              <w:rPr>
                <w:sz w:val="20"/>
                <w:szCs w:val="20"/>
              </w:rPr>
              <w:t xml:space="preserve"> – </w:t>
            </w:r>
            <w:proofErr w:type="spellStart"/>
            <w:r w:rsidRPr="00D177AE">
              <w:rPr>
                <w:sz w:val="20"/>
                <w:szCs w:val="20"/>
              </w:rPr>
              <w:t>Comparing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Methods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and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Applications</w:t>
            </w:r>
            <w:proofErr w:type="spellEnd"/>
            <w:r w:rsidRPr="00D177AE">
              <w:rPr>
                <w:sz w:val="20"/>
                <w:szCs w:val="20"/>
              </w:rPr>
              <w:t xml:space="preserve">. </w:t>
            </w:r>
            <w:proofErr w:type="spellStart"/>
            <w:r w:rsidRPr="00D177AE">
              <w:rPr>
                <w:sz w:val="20"/>
                <w:szCs w:val="20"/>
              </w:rPr>
              <w:t>Conference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proceedings</w:t>
            </w:r>
            <w:proofErr w:type="spellEnd"/>
            <w:r w:rsidRPr="00D177AE">
              <w:rPr>
                <w:sz w:val="20"/>
                <w:szCs w:val="20"/>
              </w:rPr>
              <w:t xml:space="preserve">, </w:t>
            </w:r>
            <w:proofErr w:type="spellStart"/>
            <w:r w:rsidRPr="00D177AE">
              <w:rPr>
                <w:sz w:val="20"/>
                <w:szCs w:val="20"/>
              </w:rPr>
              <w:t>Thessaloniki</w:t>
            </w:r>
            <w:proofErr w:type="spellEnd"/>
            <w:r w:rsidRPr="00D177AE">
              <w:rPr>
                <w:sz w:val="20"/>
                <w:szCs w:val="20"/>
              </w:rPr>
              <w:t xml:space="preserve">: </w:t>
            </w:r>
            <w:proofErr w:type="spellStart"/>
            <w:r w:rsidRPr="00D177AE">
              <w:rPr>
                <w:sz w:val="20"/>
                <w:szCs w:val="20"/>
              </w:rPr>
              <w:t>Cedefop</w:t>
            </w:r>
            <w:proofErr w:type="spellEnd"/>
            <w:r w:rsidRPr="00D177AE">
              <w:rPr>
                <w:sz w:val="20"/>
                <w:szCs w:val="20"/>
              </w:rPr>
              <w:t xml:space="preserve">, 2012, </w:t>
            </w:r>
            <w:proofErr w:type="spellStart"/>
            <w:r w:rsidRPr="00D177AE">
              <w:rPr>
                <w:sz w:val="20"/>
                <w:szCs w:val="20"/>
              </w:rPr>
              <w:t>pp</w:t>
            </w:r>
            <w:proofErr w:type="spellEnd"/>
            <w:r w:rsidRPr="00D177AE">
              <w:rPr>
                <w:sz w:val="20"/>
                <w:szCs w:val="20"/>
              </w:rPr>
              <w:t>. 101 – 116.</w:t>
            </w:r>
          </w:p>
          <w:p w:rsidR="00D177AE" w:rsidRPr="00D177AE" w:rsidRDefault="00D177AE" w:rsidP="00D177AE">
            <w:pPr>
              <w:pStyle w:val="NormalWeb"/>
              <w:rPr>
                <w:sz w:val="20"/>
                <w:szCs w:val="20"/>
              </w:rPr>
            </w:pPr>
            <w:r w:rsidRPr="00D177AE">
              <w:rPr>
                <w:sz w:val="20"/>
                <w:szCs w:val="20"/>
              </w:rPr>
              <w:t xml:space="preserve">Martinaitis, Žilvinas, </w:t>
            </w:r>
            <w:proofErr w:type="spellStart"/>
            <w:r w:rsidRPr="00D177AE">
              <w:rPr>
                <w:sz w:val="20"/>
                <w:szCs w:val="20"/>
              </w:rPr>
              <w:t>Ivanasukaite</w:t>
            </w:r>
            <w:proofErr w:type="spellEnd"/>
            <w:r w:rsidRPr="00D177AE">
              <w:rPr>
                <w:sz w:val="20"/>
                <w:szCs w:val="20"/>
              </w:rPr>
              <w:t xml:space="preserve"> Jurgita, “Makroekonominiai migracijos veiksniai” </w:t>
            </w:r>
            <w:proofErr w:type="spellStart"/>
            <w:r w:rsidRPr="00D177AE">
              <w:rPr>
                <w:sz w:val="20"/>
                <w:szCs w:val="20"/>
              </w:rPr>
              <w:t>eds</w:t>
            </w:r>
            <w:proofErr w:type="spellEnd"/>
            <w:r w:rsidRPr="00D177AE">
              <w:rPr>
                <w:sz w:val="20"/>
                <w:szCs w:val="20"/>
              </w:rPr>
              <w:t xml:space="preserve">. Barcevičius E., Žvalionytė D., </w:t>
            </w:r>
            <w:r w:rsidRPr="00D177AE">
              <w:rPr>
                <w:i/>
                <w:sz w:val="20"/>
                <w:szCs w:val="20"/>
              </w:rPr>
              <w:t>Užburtas ratas: Lietuvos gyventojų grįžtamoji ir pakartotinė migracija</w:t>
            </w:r>
            <w:r w:rsidRPr="00D177AE">
              <w:rPr>
                <w:sz w:val="20"/>
                <w:szCs w:val="20"/>
              </w:rPr>
              <w:t>, Leidykla Vaga: Vilnius, 2012;</w:t>
            </w:r>
          </w:p>
          <w:p w:rsidR="00D177AE" w:rsidRPr="00D177AE" w:rsidRDefault="00D177AE" w:rsidP="00D177AE">
            <w:pPr>
              <w:pStyle w:val="NormalWeb"/>
              <w:rPr>
                <w:sz w:val="20"/>
                <w:szCs w:val="20"/>
              </w:rPr>
            </w:pPr>
            <w:r w:rsidRPr="00D177AE">
              <w:rPr>
                <w:sz w:val="20"/>
                <w:szCs w:val="20"/>
              </w:rPr>
              <w:t>Nakrošis, Vitalis, Žilvinas Martinaitis, „</w:t>
            </w:r>
            <w:proofErr w:type="spellStart"/>
            <w:r w:rsidRPr="00D177AE">
              <w:rPr>
                <w:sz w:val="20"/>
                <w:szCs w:val="20"/>
              </w:rPr>
              <w:t>Sunrise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and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Sunset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of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Lithuanian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Agencies</w:t>
            </w:r>
            <w:proofErr w:type="spellEnd"/>
            <w:r w:rsidRPr="00D177AE">
              <w:rPr>
                <w:sz w:val="20"/>
                <w:szCs w:val="20"/>
              </w:rPr>
              <w:t xml:space="preserve">“, </w:t>
            </w:r>
            <w:proofErr w:type="spellStart"/>
            <w:r w:rsidRPr="00D177AE">
              <w:rPr>
                <w:i/>
                <w:sz w:val="20"/>
                <w:szCs w:val="20"/>
              </w:rPr>
              <w:t>Transylvanian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Review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of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Administrative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Sciences</w:t>
            </w:r>
            <w:proofErr w:type="spellEnd"/>
            <w:r w:rsidRPr="00D177AE">
              <w:rPr>
                <w:sz w:val="20"/>
                <w:szCs w:val="20"/>
              </w:rPr>
              <w:t xml:space="preserve">, </w:t>
            </w:r>
            <w:proofErr w:type="spellStart"/>
            <w:r w:rsidRPr="00D177AE">
              <w:rPr>
                <w:sz w:val="20"/>
                <w:szCs w:val="20"/>
              </w:rPr>
              <w:t>Special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Issue</w:t>
            </w:r>
            <w:proofErr w:type="spellEnd"/>
            <w:r w:rsidRPr="00D177AE">
              <w:rPr>
                <w:sz w:val="20"/>
                <w:szCs w:val="20"/>
              </w:rPr>
              <w:t xml:space="preserve">, </w:t>
            </w:r>
            <w:proofErr w:type="spellStart"/>
            <w:r w:rsidRPr="00D177AE">
              <w:rPr>
                <w:sz w:val="20"/>
                <w:szCs w:val="20"/>
              </w:rPr>
              <w:t>November</w:t>
            </w:r>
            <w:proofErr w:type="spellEnd"/>
            <w:r w:rsidRPr="00D177AE">
              <w:rPr>
                <w:sz w:val="20"/>
                <w:szCs w:val="20"/>
              </w:rPr>
              <w:t>, 2011.</w:t>
            </w:r>
          </w:p>
          <w:p w:rsidR="00D177AE" w:rsidRPr="00D177AE" w:rsidRDefault="00D177AE" w:rsidP="00D177AE">
            <w:pPr>
              <w:pStyle w:val="NormalWeb"/>
              <w:rPr>
                <w:sz w:val="20"/>
                <w:szCs w:val="20"/>
              </w:rPr>
            </w:pPr>
            <w:r w:rsidRPr="00D177AE">
              <w:rPr>
                <w:sz w:val="20"/>
                <w:szCs w:val="20"/>
              </w:rPr>
              <w:t>Martinaitis, Žilvinas, „</w:t>
            </w:r>
            <w:proofErr w:type="spellStart"/>
            <w:r w:rsidRPr="00D177AE">
              <w:rPr>
                <w:sz w:val="20"/>
                <w:szCs w:val="20"/>
              </w:rPr>
              <w:t>Explaining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electoral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reforms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in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Lithuania</w:t>
            </w:r>
            <w:proofErr w:type="spellEnd"/>
            <w:r w:rsidRPr="00D177AE">
              <w:rPr>
                <w:sz w:val="20"/>
                <w:szCs w:val="20"/>
              </w:rPr>
              <w:t xml:space="preserve">“, </w:t>
            </w:r>
            <w:proofErr w:type="spellStart"/>
            <w:r w:rsidRPr="00D177AE">
              <w:rPr>
                <w:i/>
                <w:sz w:val="20"/>
                <w:szCs w:val="20"/>
              </w:rPr>
              <w:t>Journal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of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Baltic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Studies</w:t>
            </w:r>
            <w:proofErr w:type="spellEnd"/>
            <w:r w:rsidRPr="00D177AE">
              <w:rPr>
                <w:sz w:val="20"/>
                <w:szCs w:val="20"/>
              </w:rPr>
              <w:t xml:space="preserve">, </w:t>
            </w:r>
            <w:proofErr w:type="spellStart"/>
            <w:r w:rsidRPr="00D177AE">
              <w:rPr>
                <w:sz w:val="20"/>
                <w:szCs w:val="20"/>
              </w:rPr>
              <w:t>Vol</w:t>
            </w:r>
            <w:proofErr w:type="spellEnd"/>
            <w:r w:rsidRPr="00D177AE">
              <w:rPr>
                <w:sz w:val="20"/>
                <w:szCs w:val="20"/>
              </w:rPr>
              <w:t>. 43 (</w:t>
            </w:r>
            <w:proofErr w:type="spellStart"/>
            <w:r w:rsidRPr="00D177AE">
              <w:rPr>
                <w:sz w:val="20"/>
                <w:szCs w:val="20"/>
              </w:rPr>
              <w:t>No</w:t>
            </w:r>
            <w:proofErr w:type="spellEnd"/>
            <w:r w:rsidRPr="00D177AE">
              <w:rPr>
                <w:sz w:val="20"/>
                <w:szCs w:val="20"/>
              </w:rPr>
              <w:t>. 3), 2012, 389-400.;</w:t>
            </w:r>
          </w:p>
          <w:p w:rsidR="00D177AE" w:rsidRDefault="00D177AE" w:rsidP="00D177AE">
            <w:pPr>
              <w:pStyle w:val="NormalWeb"/>
              <w:rPr>
                <w:sz w:val="20"/>
                <w:szCs w:val="20"/>
              </w:rPr>
            </w:pPr>
            <w:r w:rsidRPr="00D177AE">
              <w:rPr>
                <w:sz w:val="20"/>
                <w:szCs w:val="20"/>
              </w:rPr>
              <w:t>Nakrošis, Vitalis, Žilvinas Martinaitis, „</w:t>
            </w:r>
            <w:proofErr w:type="spellStart"/>
            <w:r w:rsidRPr="00D177AE">
              <w:rPr>
                <w:sz w:val="20"/>
                <w:szCs w:val="20"/>
              </w:rPr>
              <w:t>Lithuania</w:t>
            </w:r>
            <w:proofErr w:type="spellEnd"/>
            <w:r w:rsidRPr="00D177AE">
              <w:rPr>
                <w:sz w:val="20"/>
                <w:szCs w:val="20"/>
              </w:rPr>
              <w:t xml:space="preserve">“, </w:t>
            </w:r>
            <w:proofErr w:type="spellStart"/>
            <w:r w:rsidRPr="00D177AE">
              <w:rPr>
                <w:sz w:val="20"/>
                <w:szCs w:val="20"/>
              </w:rPr>
              <w:t>kn</w:t>
            </w:r>
            <w:proofErr w:type="spellEnd"/>
            <w:r w:rsidRPr="00D177AE">
              <w:rPr>
                <w:sz w:val="20"/>
                <w:szCs w:val="20"/>
              </w:rPr>
              <w:t xml:space="preserve">. G. </w:t>
            </w:r>
            <w:proofErr w:type="spellStart"/>
            <w:r w:rsidRPr="00D177AE">
              <w:rPr>
                <w:sz w:val="20"/>
                <w:szCs w:val="20"/>
              </w:rPr>
              <w:t>Bouchaert</w:t>
            </w:r>
            <w:proofErr w:type="spellEnd"/>
            <w:r w:rsidRPr="00D177AE">
              <w:rPr>
                <w:sz w:val="20"/>
                <w:szCs w:val="20"/>
              </w:rPr>
              <w:t xml:space="preserve">, P. </w:t>
            </w:r>
            <w:proofErr w:type="spellStart"/>
            <w:r w:rsidRPr="00D177AE">
              <w:rPr>
                <w:sz w:val="20"/>
                <w:szCs w:val="20"/>
              </w:rPr>
              <w:t>Laegreid</w:t>
            </w:r>
            <w:proofErr w:type="spellEnd"/>
            <w:r w:rsidRPr="00D177AE">
              <w:rPr>
                <w:sz w:val="20"/>
                <w:szCs w:val="20"/>
              </w:rPr>
              <w:t xml:space="preserve">, S. </w:t>
            </w:r>
            <w:proofErr w:type="spellStart"/>
            <w:r w:rsidRPr="00D177AE">
              <w:rPr>
                <w:sz w:val="20"/>
                <w:szCs w:val="20"/>
              </w:rPr>
              <w:t>van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Tiel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and</w:t>
            </w:r>
            <w:proofErr w:type="spellEnd"/>
            <w:r w:rsidRPr="00D177AE">
              <w:rPr>
                <w:sz w:val="20"/>
                <w:szCs w:val="20"/>
              </w:rPr>
              <w:t xml:space="preserve"> K. </w:t>
            </w:r>
            <w:proofErr w:type="spellStart"/>
            <w:r w:rsidRPr="00D177AE">
              <w:rPr>
                <w:sz w:val="20"/>
                <w:szCs w:val="20"/>
              </w:rPr>
              <w:t>Verhoest</w:t>
            </w:r>
            <w:proofErr w:type="spellEnd"/>
            <w:r w:rsidRPr="00D177AE">
              <w:rPr>
                <w:sz w:val="20"/>
                <w:szCs w:val="20"/>
              </w:rPr>
              <w:t xml:space="preserve"> (</w:t>
            </w:r>
            <w:proofErr w:type="spellStart"/>
            <w:r w:rsidRPr="00D177AE">
              <w:rPr>
                <w:sz w:val="20"/>
                <w:szCs w:val="20"/>
              </w:rPr>
              <w:t>sud</w:t>
            </w:r>
            <w:proofErr w:type="spellEnd"/>
            <w:r w:rsidRPr="00D177AE">
              <w:rPr>
                <w:sz w:val="20"/>
                <w:szCs w:val="20"/>
              </w:rPr>
              <w:t xml:space="preserve">.), </w:t>
            </w:r>
            <w:r w:rsidRPr="00D177AE">
              <w:rPr>
                <w:i/>
                <w:sz w:val="20"/>
                <w:szCs w:val="20"/>
              </w:rPr>
              <w:t xml:space="preserve">A </w:t>
            </w:r>
            <w:proofErr w:type="spellStart"/>
            <w:r w:rsidRPr="00D177AE">
              <w:rPr>
                <w:i/>
                <w:sz w:val="20"/>
                <w:szCs w:val="20"/>
              </w:rPr>
              <w:t>global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compendium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of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government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agencies</w:t>
            </w:r>
            <w:proofErr w:type="spellEnd"/>
            <w:r w:rsidRPr="00D177AE">
              <w:rPr>
                <w:sz w:val="20"/>
                <w:szCs w:val="20"/>
              </w:rPr>
              <w:t xml:space="preserve">, </w:t>
            </w:r>
            <w:proofErr w:type="spellStart"/>
            <w:r w:rsidRPr="00D177AE">
              <w:rPr>
                <w:sz w:val="20"/>
                <w:szCs w:val="20"/>
              </w:rPr>
              <w:t>Palgrave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MacMillan</w:t>
            </w:r>
            <w:proofErr w:type="spellEnd"/>
            <w:r w:rsidRPr="00D177AE">
              <w:rPr>
                <w:sz w:val="20"/>
                <w:szCs w:val="20"/>
              </w:rPr>
              <w:t>, 2011.</w:t>
            </w:r>
          </w:p>
          <w:p w:rsidR="00D177AE" w:rsidRPr="00D177AE" w:rsidRDefault="00D177AE" w:rsidP="00D177AE">
            <w:pPr>
              <w:pStyle w:val="NormalWeb"/>
              <w:rPr>
                <w:sz w:val="20"/>
                <w:szCs w:val="20"/>
              </w:rPr>
            </w:pPr>
            <w:r w:rsidRPr="00D177AE">
              <w:rPr>
                <w:sz w:val="20"/>
                <w:szCs w:val="20"/>
              </w:rPr>
              <w:t xml:space="preserve">Vitalis </w:t>
            </w:r>
            <w:proofErr w:type="spellStart"/>
            <w:r w:rsidRPr="00D177AE">
              <w:rPr>
                <w:sz w:val="20"/>
                <w:szCs w:val="20"/>
              </w:rPr>
              <w:t>Nakrošis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and</w:t>
            </w:r>
            <w:proofErr w:type="spellEnd"/>
            <w:r w:rsidRPr="00D177AE">
              <w:rPr>
                <w:sz w:val="20"/>
                <w:szCs w:val="20"/>
              </w:rPr>
              <w:t xml:space="preserve"> Žilvinas Martinaitis (</w:t>
            </w:r>
            <w:proofErr w:type="spellStart"/>
            <w:r w:rsidRPr="00D177AE">
              <w:rPr>
                <w:sz w:val="20"/>
                <w:szCs w:val="20"/>
              </w:rPr>
              <w:t>eds</w:t>
            </w:r>
            <w:proofErr w:type="spellEnd"/>
            <w:r w:rsidRPr="00D177AE">
              <w:rPr>
                <w:sz w:val="20"/>
                <w:szCs w:val="20"/>
              </w:rPr>
              <w:t xml:space="preserve">). </w:t>
            </w:r>
            <w:proofErr w:type="spellStart"/>
            <w:r w:rsidRPr="00D177AE">
              <w:rPr>
                <w:i/>
                <w:sz w:val="20"/>
                <w:szCs w:val="20"/>
              </w:rPr>
              <w:t>The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organisation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177AE">
              <w:rPr>
                <w:i/>
                <w:sz w:val="20"/>
                <w:szCs w:val="20"/>
              </w:rPr>
              <w:t>autonomy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D177AE">
              <w:rPr>
                <w:i/>
                <w:sz w:val="20"/>
                <w:szCs w:val="20"/>
              </w:rPr>
              <w:t>control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and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performance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of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the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Lithuanian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agencies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and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other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public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sector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organisations</w:t>
            </w:r>
            <w:proofErr w:type="spellEnd"/>
            <w:r w:rsidRPr="00D177AE">
              <w:rPr>
                <w:sz w:val="20"/>
                <w:szCs w:val="20"/>
              </w:rPr>
              <w:t xml:space="preserve">. Vilnius: Vilniaus universiteto leidykla, 2011.  </w:t>
            </w:r>
          </w:p>
          <w:p w:rsidR="00D177AE" w:rsidRPr="00D177AE" w:rsidRDefault="00D177AE" w:rsidP="00D177AE">
            <w:pPr>
              <w:pStyle w:val="NormalWeb"/>
              <w:rPr>
                <w:sz w:val="20"/>
                <w:szCs w:val="20"/>
              </w:rPr>
            </w:pPr>
            <w:r w:rsidRPr="00D177AE">
              <w:rPr>
                <w:sz w:val="20"/>
                <w:szCs w:val="20"/>
              </w:rPr>
              <w:t xml:space="preserve">Martinaitis, Žilvinas, Vitalis </w:t>
            </w:r>
            <w:proofErr w:type="spellStart"/>
            <w:r w:rsidRPr="00D177AE">
              <w:rPr>
                <w:sz w:val="20"/>
                <w:szCs w:val="20"/>
              </w:rPr>
              <w:t>Nakrošis</w:t>
            </w:r>
            <w:proofErr w:type="spellEnd"/>
            <w:r w:rsidRPr="00D177AE">
              <w:rPr>
                <w:sz w:val="20"/>
                <w:szCs w:val="20"/>
              </w:rPr>
              <w:t>, “</w:t>
            </w:r>
            <w:proofErr w:type="spellStart"/>
            <w:r w:rsidRPr="00D177AE">
              <w:rPr>
                <w:sz w:val="20"/>
                <w:szCs w:val="20"/>
              </w:rPr>
              <w:t>Explaining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Innovations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in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the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Lithuanian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Public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Sector</w:t>
            </w:r>
            <w:proofErr w:type="spellEnd"/>
            <w:r w:rsidRPr="00D177AE">
              <w:rPr>
                <w:sz w:val="20"/>
                <w:szCs w:val="20"/>
              </w:rPr>
              <w:t xml:space="preserve">: </w:t>
            </w:r>
            <w:proofErr w:type="spellStart"/>
            <w:r w:rsidRPr="00D177AE">
              <w:rPr>
                <w:sz w:val="20"/>
                <w:szCs w:val="20"/>
              </w:rPr>
              <w:t>New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Public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Management</w:t>
            </w:r>
            <w:proofErr w:type="spellEnd"/>
            <w:r w:rsidRPr="00D177AE">
              <w:rPr>
                <w:sz w:val="20"/>
                <w:szCs w:val="20"/>
              </w:rPr>
              <w:t xml:space="preserve">, </w:t>
            </w:r>
            <w:proofErr w:type="spellStart"/>
            <w:r w:rsidRPr="00D177AE">
              <w:rPr>
                <w:sz w:val="20"/>
                <w:szCs w:val="20"/>
              </w:rPr>
              <w:t>Administrative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Culture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and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Structural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Capacities</w:t>
            </w:r>
            <w:proofErr w:type="spellEnd"/>
            <w:r w:rsidRPr="00D177AE">
              <w:rPr>
                <w:sz w:val="20"/>
                <w:szCs w:val="20"/>
              </w:rPr>
              <w:t xml:space="preserve">.”  </w:t>
            </w:r>
            <w:proofErr w:type="spellStart"/>
            <w:r w:rsidRPr="00D177AE">
              <w:rPr>
                <w:sz w:val="20"/>
                <w:szCs w:val="20"/>
              </w:rPr>
              <w:t>The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Lithuanian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Political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Science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Yearbook</w:t>
            </w:r>
            <w:proofErr w:type="spellEnd"/>
            <w:r w:rsidRPr="00D177AE">
              <w:rPr>
                <w:sz w:val="20"/>
                <w:szCs w:val="20"/>
              </w:rPr>
              <w:t xml:space="preserve"> 2009. Institute </w:t>
            </w:r>
            <w:proofErr w:type="spellStart"/>
            <w:r w:rsidRPr="00D177AE">
              <w:rPr>
                <w:sz w:val="20"/>
                <w:szCs w:val="20"/>
              </w:rPr>
              <w:t>of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International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Relations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and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Political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Science</w:t>
            </w:r>
            <w:proofErr w:type="spellEnd"/>
            <w:r w:rsidRPr="00D177AE">
              <w:rPr>
                <w:sz w:val="20"/>
                <w:szCs w:val="20"/>
              </w:rPr>
              <w:t>, 2010.</w:t>
            </w:r>
          </w:p>
          <w:p w:rsidR="00D177AE" w:rsidRPr="00D177AE" w:rsidRDefault="00D177AE" w:rsidP="00D177AE">
            <w:pPr>
              <w:pStyle w:val="NormalWeb"/>
              <w:rPr>
                <w:sz w:val="20"/>
                <w:szCs w:val="20"/>
              </w:rPr>
            </w:pPr>
            <w:r w:rsidRPr="00D177AE">
              <w:rPr>
                <w:sz w:val="20"/>
                <w:szCs w:val="20"/>
              </w:rPr>
              <w:t>Nakrošis, Vitalis, Martinaitis, Žilvinas, "</w:t>
            </w:r>
            <w:proofErr w:type="spellStart"/>
            <w:r w:rsidRPr="00D177AE">
              <w:rPr>
                <w:sz w:val="20"/>
                <w:szCs w:val="20"/>
              </w:rPr>
              <w:t>The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Lithuanian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public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sector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organisations</w:t>
            </w:r>
            <w:proofErr w:type="spellEnd"/>
            <w:r w:rsidRPr="00D177AE">
              <w:rPr>
                <w:sz w:val="20"/>
                <w:szCs w:val="20"/>
              </w:rPr>
              <w:t xml:space="preserve">: </w:t>
            </w:r>
            <w:proofErr w:type="spellStart"/>
            <w:r w:rsidRPr="00D177AE">
              <w:rPr>
                <w:sz w:val="20"/>
                <w:szCs w:val="20"/>
              </w:rPr>
              <w:t>the</w:t>
            </w:r>
            <w:proofErr w:type="spellEnd"/>
            <w:r w:rsidRPr="00D177AE">
              <w:rPr>
                <w:sz w:val="20"/>
                <w:szCs w:val="20"/>
              </w:rPr>
              <w:t xml:space="preserve"> EU-</w:t>
            </w:r>
            <w:proofErr w:type="spellStart"/>
            <w:r w:rsidRPr="00D177AE">
              <w:rPr>
                <w:sz w:val="20"/>
                <w:szCs w:val="20"/>
              </w:rPr>
              <w:t>driven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expansion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within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the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domestic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arrangements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of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autonomy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and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control</w:t>
            </w:r>
            <w:proofErr w:type="spellEnd"/>
            <w:r w:rsidRPr="00D177AE">
              <w:rPr>
                <w:sz w:val="20"/>
                <w:szCs w:val="20"/>
              </w:rPr>
              <w:t xml:space="preserve">", </w:t>
            </w:r>
            <w:r w:rsidRPr="00D177AE">
              <w:rPr>
                <w:i/>
                <w:sz w:val="20"/>
                <w:szCs w:val="20"/>
              </w:rPr>
              <w:t>Viešoji politika ir administravimas,</w:t>
            </w:r>
            <w:r w:rsidRPr="00D177AE">
              <w:rPr>
                <w:sz w:val="20"/>
                <w:szCs w:val="20"/>
              </w:rPr>
              <w:t xml:space="preserve"> 2009, </w:t>
            </w:r>
            <w:proofErr w:type="spellStart"/>
            <w:r w:rsidRPr="00D177AE">
              <w:rPr>
                <w:sz w:val="20"/>
                <w:szCs w:val="20"/>
              </w:rPr>
              <w:t>no</w:t>
            </w:r>
            <w:proofErr w:type="spellEnd"/>
            <w:r w:rsidRPr="00D177AE">
              <w:rPr>
                <w:sz w:val="20"/>
                <w:szCs w:val="20"/>
              </w:rPr>
              <w:t>. 29;</w:t>
            </w:r>
          </w:p>
          <w:p w:rsidR="00D177AE" w:rsidRPr="00D177AE" w:rsidRDefault="00D177AE" w:rsidP="00D177AE">
            <w:pPr>
              <w:pStyle w:val="NormalWeb"/>
              <w:rPr>
                <w:sz w:val="20"/>
                <w:szCs w:val="20"/>
              </w:rPr>
            </w:pPr>
            <w:r w:rsidRPr="00D177AE">
              <w:rPr>
                <w:sz w:val="20"/>
                <w:szCs w:val="20"/>
              </w:rPr>
              <w:t>Nakrošis, Vitalis, Martinaitis, Žilvinas, "</w:t>
            </w:r>
            <w:proofErr w:type="spellStart"/>
            <w:r w:rsidRPr="00D177AE">
              <w:rPr>
                <w:sz w:val="20"/>
                <w:szCs w:val="20"/>
              </w:rPr>
              <w:t>Explaining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innovations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in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the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Lithuanian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public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sector</w:t>
            </w:r>
            <w:proofErr w:type="spellEnd"/>
            <w:r w:rsidRPr="00D177AE">
              <w:rPr>
                <w:sz w:val="20"/>
                <w:szCs w:val="20"/>
              </w:rPr>
              <w:t xml:space="preserve">: </w:t>
            </w:r>
            <w:proofErr w:type="spellStart"/>
            <w:r w:rsidRPr="00D177AE">
              <w:rPr>
                <w:sz w:val="20"/>
                <w:szCs w:val="20"/>
              </w:rPr>
              <w:t>new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public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management</w:t>
            </w:r>
            <w:proofErr w:type="spellEnd"/>
            <w:r w:rsidRPr="00D177AE">
              <w:rPr>
                <w:sz w:val="20"/>
                <w:szCs w:val="20"/>
              </w:rPr>
              <w:t xml:space="preserve">, </w:t>
            </w:r>
            <w:proofErr w:type="spellStart"/>
            <w:r w:rsidRPr="00D177AE">
              <w:rPr>
                <w:sz w:val="20"/>
                <w:szCs w:val="20"/>
              </w:rPr>
              <w:t>administrative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culture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and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structural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capacities</w:t>
            </w:r>
            <w:proofErr w:type="spellEnd"/>
            <w:r w:rsidRPr="00D177AE">
              <w:rPr>
                <w:sz w:val="20"/>
                <w:szCs w:val="20"/>
              </w:rPr>
              <w:t xml:space="preserve">", </w:t>
            </w:r>
            <w:proofErr w:type="spellStart"/>
            <w:r w:rsidRPr="00D177AE">
              <w:rPr>
                <w:i/>
                <w:sz w:val="20"/>
                <w:szCs w:val="20"/>
              </w:rPr>
              <w:t>Lithuanian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political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science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yearbook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2008</w:t>
            </w:r>
            <w:r w:rsidRPr="00D177AE">
              <w:rPr>
                <w:sz w:val="20"/>
                <w:szCs w:val="20"/>
              </w:rPr>
              <w:t>.</w:t>
            </w:r>
          </w:p>
          <w:p w:rsidR="00D177AE" w:rsidRPr="00D177AE" w:rsidRDefault="00D177AE" w:rsidP="00D177AE">
            <w:pPr>
              <w:pStyle w:val="NormalWeb"/>
              <w:rPr>
                <w:sz w:val="20"/>
                <w:szCs w:val="20"/>
              </w:rPr>
            </w:pPr>
            <w:r w:rsidRPr="00D177AE">
              <w:rPr>
                <w:sz w:val="20"/>
                <w:szCs w:val="20"/>
              </w:rPr>
              <w:t>Clark, Terry, Martinaitis, Žilvinas, Dilba, Ramūnas, "</w:t>
            </w:r>
            <w:proofErr w:type="spellStart"/>
            <w:r w:rsidRPr="00D177AE">
              <w:rPr>
                <w:sz w:val="20"/>
                <w:szCs w:val="20"/>
              </w:rPr>
              <w:t>Electoral</w:t>
            </w:r>
            <w:proofErr w:type="spellEnd"/>
            <w:r w:rsidRPr="00D177AE">
              <w:rPr>
                <w:sz w:val="20"/>
                <w:szCs w:val="20"/>
              </w:rPr>
              <w:t xml:space="preserve"> Mandate </w:t>
            </w:r>
            <w:proofErr w:type="spellStart"/>
            <w:r w:rsidRPr="00D177AE">
              <w:rPr>
                <w:sz w:val="20"/>
                <w:szCs w:val="20"/>
              </w:rPr>
              <w:t>and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Party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Cohesion</w:t>
            </w:r>
            <w:proofErr w:type="spellEnd"/>
            <w:r w:rsidRPr="00D177AE">
              <w:rPr>
                <w:sz w:val="20"/>
                <w:szCs w:val="20"/>
              </w:rPr>
              <w:t xml:space="preserve">: </w:t>
            </w:r>
            <w:proofErr w:type="spellStart"/>
            <w:r w:rsidRPr="00D177AE">
              <w:rPr>
                <w:sz w:val="20"/>
                <w:szCs w:val="20"/>
              </w:rPr>
              <w:t>Does</w:t>
            </w:r>
            <w:proofErr w:type="spellEnd"/>
            <w:r w:rsidRPr="00D177AE">
              <w:rPr>
                <w:sz w:val="20"/>
                <w:szCs w:val="20"/>
              </w:rPr>
              <w:t xml:space="preserve"> It </w:t>
            </w:r>
            <w:proofErr w:type="spellStart"/>
            <w:r w:rsidRPr="00D177AE">
              <w:rPr>
                <w:sz w:val="20"/>
                <w:szCs w:val="20"/>
              </w:rPr>
              <w:t>Matter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in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Lithuania</w:t>
            </w:r>
            <w:proofErr w:type="spellEnd"/>
            <w:r w:rsidRPr="00D177AE">
              <w:rPr>
                <w:sz w:val="20"/>
                <w:szCs w:val="20"/>
              </w:rPr>
              <w:t xml:space="preserve">?", </w:t>
            </w:r>
            <w:proofErr w:type="spellStart"/>
            <w:r w:rsidRPr="00D177AE">
              <w:rPr>
                <w:i/>
                <w:sz w:val="20"/>
                <w:szCs w:val="20"/>
              </w:rPr>
              <w:t>Journal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of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Communist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Studies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and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Transition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Politics</w:t>
            </w:r>
            <w:proofErr w:type="spellEnd"/>
            <w:r w:rsidRPr="00D177AE">
              <w:rPr>
                <w:sz w:val="20"/>
                <w:szCs w:val="20"/>
              </w:rPr>
              <w:t xml:space="preserve">, Vol.24, </w:t>
            </w:r>
            <w:proofErr w:type="spellStart"/>
            <w:r w:rsidRPr="00D177AE">
              <w:rPr>
                <w:sz w:val="20"/>
                <w:szCs w:val="20"/>
              </w:rPr>
              <w:t>No</w:t>
            </w:r>
            <w:proofErr w:type="spellEnd"/>
            <w:r w:rsidRPr="00D177AE">
              <w:rPr>
                <w:sz w:val="20"/>
                <w:szCs w:val="20"/>
              </w:rPr>
              <w:t xml:space="preserve">. 3, </w:t>
            </w:r>
            <w:proofErr w:type="spellStart"/>
            <w:r w:rsidRPr="00D177AE">
              <w:rPr>
                <w:sz w:val="20"/>
                <w:szCs w:val="20"/>
              </w:rPr>
              <w:t>September</w:t>
            </w:r>
            <w:proofErr w:type="spellEnd"/>
            <w:r w:rsidRPr="00D177AE">
              <w:rPr>
                <w:sz w:val="20"/>
                <w:szCs w:val="20"/>
              </w:rPr>
              <w:t>, 2008;</w:t>
            </w:r>
          </w:p>
          <w:p w:rsidR="00D177AE" w:rsidRPr="00D177AE" w:rsidRDefault="00D177AE" w:rsidP="00D177AE">
            <w:pPr>
              <w:pStyle w:val="NormalWeb"/>
              <w:rPr>
                <w:sz w:val="20"/>
                <w:szCs w:val="20"/>
              </w:rPr>
            </w:pPr>
            <w:r w:rsidRPr="00D177AE">
              <w:rPr>
                <w:sz w:val="20"/>
                <w:szCs w:val="20"/>
              </w:rPr>
              <w:t>Martinaitis Žilvinas, "</w:t>
            </w:r>
            <w:proofErr w:type="spellStart"/>
            <w:r w:rsidRPr="00D177AE">
              <w:rPr>
                <w:sz w:val="20"/>
                <w:szCs w:val="20"/>
              </w:rPr>
              <w:t>Flexicurity</w:t>
            </w:r>
            <w:proofErr w:type="spellEnd"/>
            <w:r w:rsidRPr="00D177AE">
              <w:rPr>
                <w:sz w:val="20"/>
                <w:szCs w:val="20"/>
              </w:rPr>
              <w:t xml:space="preserve">: </w:t>
            </w:r>
            <w:proofErr w:type="spellStart"/>
            <w:r w:rsidRPr="00D177AE">
              <w:rPr>
                <w:sz w:val="20"/>
                <w:szCs w:val="20"/>
              </w:rPr>
              <w:t>Will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the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European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Medicine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Cure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Lithuanian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Labour</w:t>
            </w:r>
            <w:proofErr w:type="spellEnd"/>
            <w:r w:rsidRPr="00D177AE">
              <w:rPr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sz w:val="20"/>
                <w:szCs w:val="20"/>
              </w:rPr>
              <w:t>Market</w:t>
            </w:r>
            <w:proofErr w:type="spellEnd"/>
            <w:r w:rsidRPr="00D177AE">
              <w:rPr>
                <w:sz w:val="20"/>
                <w:szCs w:val="20"/>
              </w:rPr>
              <w:t xml:space="preserve">?", </w:t>
            </w:r>
            <w:proofErr w:type="spellStart"/>
            <w:r w:rsidRPr="00D177AE">
              <w:rPr>
                <w:i/>
                <w:sz w:val="20"/>
                <w:szCs w:val="20"/>
              </w:rPr>
              <w:t>Lithuanian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Political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Science</w:t>
            </w:r>
            <w:proofErr w:type="spellEnd"/>
            <w:r w:rsidRPr="00D17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177AE">
              <w:rPr>
                <w:i/>
                <w:sz w:val="20"/>
                <w:szCs w:val="20"/>
              </w:rPr>
              <w:t>Yearbook</w:t>
            </w:r>
            <w:proofErr w:type="spellEnd"/>
            <w:r w:rsidRPr="00D177AE">
              <w:rPr>
                <w:sz w:val="20"/>
                <w:szCs w:val="20"/>
              </w:rPr>
              <w:t>. 2008;</w:t>
            </w:r>
          </w:p>
          <w:p w:rsidR="00D177AE" w:rsidRPr="00D177AE" w:rsidRDefault="00D177AE" w:rsidP="00D177AE">
            <w:pPr>
              <w:pStyle w:val="NormalWeb"/>
              <w:rPr>
                <w:sz w:val="20"/>
                <w:szCs w:val="20"/>
              </w:rPr>
            </w:pPr>
            <w:r w:rsidRPr="00D177AE">
              <w:rPr>
                <w:sz w:val="20"/>
                <w:szCs w:val="20"/>
              </w:rPr>
              <w:t xml:space="preserve">Martinaitis, Žilvinas, </w:t>
            </w:r>
            <w:r w:rsidRPr="00D177AE">
              <w:rPr>
                <w:i/>
                <w:sz w:val="20"/>
                <w:szCs w:val="20"/>
              </w:rPr>
              <w:t>Problemos apibrėžimas politikos analizėje</w:t>
            </w:r>
            <w:r w:rsidRPr="00D177AE">
              <w:rPr>
                <w:sz w:val="20"/>
                <w:szCs w:val="20"/>
              </w:rPr>
              <w:t>. Vilnius: Vilniaus universiteto leidykla, 2008.</w:t>
            </w:r>
          </w:p>
          <w:p w:rsidR="00C731AA" w:rsidRPr="00B603C4" w:rsidRDefault="00C731AA" w:rsidP="0032141B">
            <w:pPr>
              <w:ind w:left="252" w:hanging="25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31AA" w:rsidRPr="00B603C4" w:rsidTr="0032141B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0200" w:type="dxa"/>
            <w:gridSpan w:val="8"/>
          </w:tcPr>
          <w:p w:rsidR="00C731AA" w:rsidRPr="00B603C4" w:rsidRDefault="000340F8" w:rsidP="00C731AA">
            <w:pPr>
              <w:spacing w:after="40"/>
              <w:jc w:val="center"/>
              <w:rPr>
                <w:sz w:val="20"/>
                <w:szCs w:val="20"/>
              </w:rPr>
            </w:pPr>
            <w:r w:rsidRPr="000340F8">
              <w:rPr>
                <w:sz w:val="20"/>
                <w:szCs w:val="20"/>
              </w:rPr>
              <w:lastRenderedPageBreak/>
              <w:t>Patvirtinta TSPMI taryboje  2014-10-15, protokolo Nr. T-2014-13</w:t>
            </w:r>
          </w:p>
        </w:tc>
      </w:tr>
    </w:tbl>
    <w:p w:rsidR="00C731AA" w:rsidRPr="00B603C4" w:rsidRDefault="00C731AA" w:rsidP="00C731AA">
      <w:pPr>
        <w:rPr>
          <w:sz w:val="20"/>
          <w:szCs w:val="20"/>
        </w:rPr>
      </w:pPr>
    </w:p>
    <w:p w:rsidR="00440619" w:rsidRDefault="003F6FBE"/>
    <w:sectPr w:rsidR="0044061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Palatin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6677"/>
    <w:multiLevelType w:val="hybridMultilevel"/>
    <w:tmpl w:val="C4E05BC6"/>
    <w:lvl w:ilvl="0" w:tplc="5BFE8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AA"/>
    <w:rsid w:val="000340F8"/>
    <w:rsid w:val="00155D79"/>
    <w:rsid w:val="003F6FBE"/>
    <w:rsid w:val="005A52BB"/>
    <w:rsid w:val="008C4FFA"/>
    <w:rsid w:val="00C731AA"/>
    <w:rsid w:val="00D1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31A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731AA"/>
  </w:style>
  <w:style w:type="character" w:customStyle="1" w:styleId="apple-converted-space">
    <w:name w:val="apple-converted-space"/>
    <w:basedOn w:val="DefaultParagraphFont"/>
    <w:rsid w:val="00C731AA"/>
  </w:style>
  <w:style w:type="paragraph" w:styleId="NormalWeb">
    <w:name w:val="Normal (Web)"/>
    <w:basedOn w:val="Normal"/>
    <w:rsid w:val="00C731AA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semiHidden/>
    <w:rsid w:val="00C731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31AA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31A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731AA"/>
  </w:style>
  <w:style w:type="character" w:customStyle="1" w:styleId="apple-converted-space">
    <w:name w:val="apple-converted-space"/>
    <w:basedOn w:val="DefaultParagraphFont"/>
    <w:rsid w:val="00C731AA"/>
  </w:style>
  <w:style w:type="paragraph" w:styleId="NormalWeb">
    <w:name w:val="Normal (Web)"/>
    <w:basedOn w:val="Normal"/>
    <w:rsid w:val="00C731AA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semiHidden/>
    <w:rsid w:val="00C731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31AA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6043</Words>
  <Characters>3446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 TSPMI</Company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Vilius</cp:lastModifiedBy>
  <cp:revision>2</cp:revision>
  <dcterms:created xsi:type="dcterms:W3CDTF">2017-08-28T11:21:00Z</dcterms:created>
  <dcterms:modified xsi:type="dcterms:W3CDTF">2017-08-28T11:21:00Z</dcterms:modified>
</cp:coreProperties>
</file>