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FC" w:rsidRPr="00AF1DFC" w:rsidRDefault="00AF1DFC" w:rsidP="00AF1DFC">
      <w:pPr>
        <w:tabs>
          <w:tab w:val="left" w:pos="1843"/>
        </w:tabs>
        <w:spacing w:after="12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lt-LT"/>
        </w:rPr>
      </w:pPr>
      <w:bookmarkStart w:id="0" w:name="_GoBack"/>
      <w:bookmarkEnd w:id="0"/>
    </w:p>
    <w:tbl>
      <w:tblPr>
        <w:tblW w:w="1020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8"/>
        <w:gridCol w:w="960"/>
        <w:gridCol w:w="122"/>
        <w:gridCol w:w="838"/>
        <w:gridCol w:w="934"/>
        <w:gridCol w:w="851"/>
        <w:gridCol w:w="1813"/>
        <w:gridCol w:w="2284"/>
      </w:tblGrid>
      <w:tr w:rsidR="00AF1DFC" w:rsidRPr="00AF1DFC" w:rsidTr="00756711">
        <w:tc>
          <w:tcPr>
            <w:tcW w:w="3480" w:type="dxa"/>
            <w:gridSpan w:val="3"/>
            <w:shd w:val="clear" w:color="auto" w:fill="auto"/>
            <w:vAlign w:val="center"/>
          </w:tcPr>
          <w:p w:rsidR="00AF1DFC" w:rsidRPr="00AF1DFC" w:rsidRDefault="00AF1DFC" w:rsidP="00AF1DFC">
            <w:pP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Dalyko pavadinimas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AF1DFC" w:rsidRPr="00AF1DFC" w:rsidRDefault="00AF1DFC" w:rsidP="00AF1DFC">
            <w:pP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Mokslo kryptis (šaka)</w:t>
            </w:r>
          </w:p>
          <w:p w:rsidR="00AF1DFC" w:rsidRPr="00AF1DFC" w:rsidRDefault="00AF1DFC" w:rsidP="00AF1DFC">
            <w:pP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Kodas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AF1DFC" w:rsidRPr="00AF1DFC" w:rsidRDefault="00AF1DFC" w:rsidP="00AF1DFC">
            <w:pP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Fakultetas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AF1DFC" w:rsidRPr="00AF1DFC" w:rsidRDefault="00AF1DFC" w:rsidP="00AF1DFC">
            <w:pP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Katedra</w:t>
            </w:r>
          </w:p>
        </w:tc>
      </w:tr>
      <w:tr w:rsidR="00AF1DFC" w:rsidRPr="00AF1DFC" w:rsidTr="00756711">
        <w:trPr>
          <w:trHeight w:val="780"/>
        </w:trPr>
        <w:tc>
          <w:tcPr>
            <w:tcW w:w="3480" w:type="dxa"/>
            <w:gridSpan w:val="3"/>
            <w:shd w:val="clear" w:color="auto" w:fill="auto"/>
            <w:vAlign w:val="center"/>
          </w:tcPr>
          <w:p w:rsidR="00AF1DFC" w:rsidRPr="00AF1DFC" w:rsidRDefault="00AF1DFC" w:rsidP="00AF1DF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  <w:r w:rsidRPr="00AF1DFC"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  <w:t xml:space="preserve">Šiuolaikiniai politiniai režimai  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AF1DFC" w:rsidRPr="00AF1DFC" w:rsidRDefault="00AF1DFC" w:rsidP="00AF1DFC">
            <w:pP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Politikos mokslai 02S  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AF1DFC" w:rsidRPr="00AF1DFC" w:rsidRDefault="00AF1DFC" w:rsidP="00AF1DFC">
            <w:pP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TSPMI 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AF1DFC" w:rsidRPr="00AF1DFC" w:rsidRDefault="00AF1DFC" w:rsidP="00AF1DFC">
            <w:pP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Politikos teorijos </w:t>
            </w:r>
          </w:p>
        </w:tc>
      </w:tr>
      <w:tr w:rsidR="00AF1DFC" w:rsidRPr="00AF1DFC" w:rsidTr="00756711">
        <w:tblPrEx>
          <w:tblBorders>
            <w:insideH w:val="single" w:sz="6" w:space="0" w:color="auto"/>
          </w:tblBorders>
        </w:tblPrEx>
        <w:tc>
          <w:tcPr>
            <w:tcW w:w="3480" w:type="dxa"/>
            <w:gridSpan w:val="3"/>
            <w:tcBorders>
              <w:top w:val="single" w:sz="12" w:space="0" w:color="auto"/>
              <w:bottom w:val="nil"/>
            </w:tcBorders>
          </w:tcPr>
          <w:p w:rsidR="00AF1DFC" w:rsidRPr="00AF1DFC" w:rsidRDefault="00AF1DFC" w:rsidP="00AF1DFC">
            <w:pP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Studijų būdas</w:t>
            </w:r>
          </w:p>
        </w:tc>
        <w:tc>
          <w:tcPr>
            <w:tcW w:w="1772" w:type="dxa"/>
            <w:gridSpan w:val="2"/>
            <w:tcBorders>
              <w:top w:val="single" w:sz="12" w:space="0" w:color="auto"/>
              <w:bottom w:val="nil"/>
            </w:tcBorders>
          </w:tcPr>
          <w:p w:rsidR="00AF1DFC" w:rsidRPr="00AF1DFC" w:rsidRDefault="00AF1DFC" w:rsidP="00AF1DFC">
            <w:pP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Kreditų skaičius</w:t>
            </w:r>
          </w:p>
        </w:tc>
        <w:tc>
          <w:tcPr>
            <w:tcW w:w="2664" w:type="dxa"/>
            <w:gridSpan w:val="2"/>
            <w:tcBorders>
              <w:top w:val="single" w:sz="12" w:space="0" w:color="auto"/>
              <w:bottom w:val="nil"/>
            </w:tcBorders>
          </w:tcPr>
          <w:p w:rsidR="00AF1DFC" w:rsidRPr="00AF1DFC" w:rsidRDefault="00AF1DFC" w:rsidP="00AF1DFC">
            <w:pP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Studijų būdas</w:t>
            </w:r>
          </w:p>
        </w:tc>
        <w:tc>
          <w:tcPr>
            <w:tcW w:w="2284" w:type="dxa"/>
            <w:tcBorders>
              <w:top w:val="single" w:sz="12" w:space="0" w:color="auto"/>
              <w:bottom w:val="nil"/>
            </w:tcBorders>
          </w:tcPr>
          <w:p w:rsidR="00AF1DFC" w:rsidRPr="00AF1DFC" w:rsidRDefault="00AF1DFC" w:rsidP="00AF1DFC">
            <w:pP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Kreditų skaičius</w:t>
            </w:r>
          </w:p>
        </w:tc>
      </w:tr>
      <w:tr w:rsidR="00AF1DFC" w:rsidRPr="00AF1DFC" w:rsidTr="00756711">
        <w:tblPrEx>
          <w:tblBorders>
            <w:insideH w:val="single" w:sz="6" w:space="0" w:color="auto"/>
          </w:tblBorders>
        </w:tblPrEx>
        <w:tc>
          <w:tcPr>
            <w:tcW w:w="3480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AF1DFC" w:rsidRPr="00AF1DFC" w:rsidRDefault="00AF1DFC" w:rsidP="00AF1DFC">
            <w:pP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Paskaitos</w:t>
            </w:r>
          </w:p>
        </w:tc>
        <w:tc>
          <w:tcPr>
            <w:tcW w:w="1772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AF1DFC" w:rsidRPr="00AF1DFC" w:rsidRDefault="00AF1DFC" w:rsidP="00AF1D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266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AF1DFC" w:rsidRPr="00AF1DFC" w:rsidRDefault="00AF1DFC" w:rsidP="00AF1DFC">
            <w:pP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Konsultacijos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6" w:space="0" w:color="auto"/>
            </w:tcBorders>
          </w:tcPr>
          <w:p w:rsidR="00AF1DFC" w:rsidRPr="00AF1DFC" w:rsidRDefault="00AF1DFC" w:rsidP="00AF1D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</w:t>
            </w:r>
          </w:p>
        </w:tc>
      </w:tr>
      <w:tr w:rsidR="00AF1DFC" w:rsidRPr="00AF1DFC" w:rsidTr="00756711">
        <w:tblPrEx>
          <w:tblBorders>
            <w:insideH w:val="single" w:sz="6" w:space="0" w:color="auto"/>
          </w:tblBorders>
        </w:tblPrEx>
        <w:tc>
          <w:tcPr>
            <w:tcW w:w="3480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AF1DFC" w:rsidRPr="00AF1DFC" w:rsidRDefault="00AF1DFC" w:rsidP="00AF1DFC">
            <w:pP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Individualus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AF1DFC" w:rsidRPr="00AF1DFC" w:rsidRDefault="00AF1DFC" w:rsidP="00AF1D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AF1DFC" w:rsidRPr="00AF1DFC" w:rsidRDefault="00AF1DFC" w:rsidP="00AF1DFC">
            <w:pP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Seminarai/kolokviumas</w:t>
            </w:r>
          </w:p>
        </w:tc>
        <w:tc>
          <w:tcPr>
            <w:tcW w:w="2284" w:type="dxa"/>
            <w:tcBorders>
              <w:top w:val="single" w:sz="6" w:space="0" w:color="auto"/>
              <w:bottom w:val="single" w:sz="12" w:space="0" w:color="auto"/>
            </w:tcBorders>
          </w:tcPr>
          <w:p w:rsidR="00AF1DFC" w:rsidRPr="00AF1DFC" w:rsidRDefault="00AF1DFC" w:rsidP="00AF1D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</w:t>
            </w:r>
          </w:p>
        </w:tc>
      </w:tr>
      <w:tr w:rsidR="00AF1DFC" w:rsidRPr="00AF1DFC" w:rsidTr="00756711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200" w:type="dxa"/>
            <w:gridSpan w:val="8"/>
            <w:tcBorders>
              <w:top w:val="single" w:sz="12" w:space="0" w:color="auto"/>
              <w:bottom w:val="double" w:sz="4" w:space="0" w:color="auto"/>
            </w:tcBorders>
          </w:tcPr>
          <w:p w:rsidR="00AF1DFC" w:rsidRPr="00AF1DFC" w:rsidRDefault="00AF1DFC" w:rsidP="00AF1DFC">
            <w:pP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Dalyko anotacija</w:t>
            </w:r>
          </w:p>
        </w:tc>
      </w:tr>
      <w:tr w:rsidR="00AF1DFC" w:rsidRPr="00AF1DFC" w:rsidTr="00756711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200" w:type="dxa"/>
            <w:gridSpan w:val="8"/>
            <w:tcBorders>
              <w:top w:val="double" w:sz="4" w:space="0" w:color="auto"/>
              <w:bottom w:val="single" w:sz="12" w:space="0" w:color="auto"/>
            </w:tcBorders>
          </w:tcPr>
          <w:p w:rsidR="00F87999" w:rsidRDefault="00AF1DFC" w:rsidP="00AF1DF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Šiuolaikiniai politiniai režimai – tai pasirenkamas doktorantūros studijų dalykas, skirtas šiuolaikinių politinių režimų, jų tipologijos bei kaitos analizei. </w:t>
            </w:r>
            <w:r w:rsidR="00EB64A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Svarbiausi kurso tikslai: iš</w:t>
            </w:r>
            <w:r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studijuo</w:t>
            </w:r>
            <w:r w:rsidR="00EB64A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ti</w:t>
            </w:r>
            <w:r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žymiausių šiuolaikinių politinių režimų tyrinėtojų (H.Arend, R.Dahl, A.Lijphart, J.Linz, </w:t>
            </w:r>
            <w:r w:rsidR="00EB64A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D.North, P.Norris ir kt.</w:t>
            </w:r>
            <w:r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) darb</w:t>
            </w:r>
            <w:r w:rsidR="00EB64A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us, įvertinti esmines skirtingų politinių režimų stabilumo ir kaitos prielaidas ir esamas tendencijas, pritaikyti </w:t>
            </w:r>
            <w:r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teorinius modelius atskirų šalių, regionų tyrimui. </w:t>
            </w:r>
          </w:p>
          <w:p w:rsidR="00AF1DFC" w:rsidRPr="00AF1DFC" w:rsidRDefault="00AF1DFC" w:rsidP="00AF1DF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  <w:p w:rsidR="00AF1DFC" w:rsidRPr="00AF1DFC" w:rsidRDefault="00AF1DFC" w:rsidP="00AF1DF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Pagrindinės temos:</w:t>
            </w:r>
          </w:p>
          <w:p w:rsidR="00AF1DFC" w:rsidRPr="00AF1DFC" w:rsidRDefault="00AF1DFC" w:rsidP="00AF1DFC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Politinio režimo samprata. Politinių režimų tipologijos problema.  </w:t>
            </w:r>
          </w:p>
          <w:p w:rsidR="00AF1DFC" w:rsidRPr="00AF1DFC" w:rsidRDefault="00AF1DFC" w:rsidP="00AF1DFC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Šiuolaikinė liberali demokratija: idėjos ir tikrovės iššūkiai. </w:t>
            </w:r>
          </w:p>
          <w:p w:rsidR="00AF1DFC" w:rsidRPr="00AF1DFC" w:rsidRDefault="00AF1DFC" w:rsidP="00AF1DFC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Tranzitologiniai tyrimai ir jų metodologinės problemos.  </w:t>
            </w:r>
          </w:p>
          <w:p w:rsidR="00AF1DFC" w:rsidRPr="00AF1DFC" w:rsidRDefault="00AF1DFC" w:rsidP="00AF1DFC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Pokomunistinės transformacijos įvairovė ir jos aiškinimai. </w:t>
            </w:r>
          </w:p>
          <w:p w:rsidR="00AF1DFC" w:rsidRPr="00AF1DFC" w:rsidRDefault="00AF1DFC" w:rsidP="00AF1DFC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Šiuolaikiniai autoritariniai režimai ir jų įvairovė.     </w:t>
            </w:r>
          </w:p>
          <w:p w:rsidR="00AF1DFC" w:rsidRPr="00AF1DFC" w:rsidRDefault="00AF1DFC" w:rsidP="00AF1DFC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Totalitarizmas ir jo veikimo mechanizmas.   </w:t>
            </w:r>
          </w:p>
          <w:p w:rsidR="00AF1DFC" w:rsidRPr="00AF1DFC" w:rsidRDefault="00AF1DFC" w:rsidP="00AF1DFC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Politinių režimų empirinių tyrimų pavyzdžiai: atskirų šalių atvejų studijos ir regionų lyginamoji analizė.  </w:t>
            </w:r>
          </w:p>
          <w:p w:rsidR="00AF1DFC" w:rsidRPr="00AF1DFC" w:rsidRDefault="00AF1DFC" w:rsidP="00AF1DF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Dalyko studijų ir atsiskaitymo formos:</w:t>
            </w:r>
          </w:p>
          <w:p w:rsidR="00AF1DFC" w:rsidRPr="00AF1DFC" w:rsidRDefault="00AF1DFC" w:rsidP="00AF1DFC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Individualios dalyko literatūros studijos. Atsiskaitymo forma – egzaminas raštu. </w:t>
            </w:r>
          </w:p>
          <w:p w:rsidR="00AF1DFC" w:rsidRPr="00AF1DFC" w:rsidRDefault="00AF1DFC" w:rsidP="00AF1DFC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Disertacijos temos ir dalyko literatūros studijos ir rašto darbo rengimas. Rašto darbe doktorantas pasirenka temą, susijusią su šiuolaikinių politinių režimų ir disertacijos tematika. Atsiskaitymo forma – rašto darbas (30 000-40000 spaudos ženklų).   </w:t>
            </w:r>
          </w:p>
          <w:p w:rsidR="00AF1DFC" w:rsidRPr="00AF1DFC" w:rsidRDefault="00AF1DFC" w:rsidP="00AF1DF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AF1DFC" w:rsidRPr="00AF1DFC" w:rsidTr="00756711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200" w:type="dxa"/>
            <w:gridSpan w:val="8"/>
            <w:tcBorders>
              <w:top w:val="single" w:sz="12" w:space="0" w:color="auto"/>
              <w:bottom w:val="double" w:sz="4" w:space="0" w:color="auto"/>
            </w:tcBorders>
          </w:tcPr>
          <w:p w:rsidR="00AF1DFC" w:rsidRPr="00AF1DFC" w:rsidRDefault="00AF1DFC" w:rsidP="00AF1DF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Pagrindinė literatūra:</w:t>
            </w:r>
          </w:p>
        </w:tc>
      </w:tr>
      <w:tr w:rsidR="00AF1DFC" w:rsidRPr="00AF1DFC" w:rsidTr="00756711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200" w:type="dxa"/>
            <w:gridSpan w:val="8"/>
            <w:tcBorders>
              <w:top w:val="double" w:sz="4" w:space="0" w:color="auto"/>
              <w:bottom w:val="single" w:sz="12" w:space="0" w:color="auto"/>
            </w:tcBorders>
          </w:tcPr>
          <w:p w:rsidR="0064783D" w:rsidRDefault="0064783D" w:rsidP="00AF1DFC">
            <w:pPr>
              <w:ind w:left="360" w:hanging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Acemoglu </w:t>
            </w:r>
            <w:r w:rsidR="00D475D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D. and Robinson J. Economic Origins of Dictatorship and Democracy. Cambridge University Press, 2009.</w:t>
            </w:r>
          </w:p>
          <w:p w:rsidR="00AF1DFC" w:rsidRPr="00AF1DFC" w:rsidRDefault="00AF1DFC" w:rsidP="00AF1DFC">
            <w:pPr>
              <w:ind w:left="360" w:hanging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Arend H. Totalitarizmo ištakos. Vilnius: Tyto alba, 2001. – 487 p.</w:t>
            </w:r>
          </w:p>
          <w:p w:rsidR="00AF1DFC" w:rsidRDefault="00AF1DFC" w:rsidP="00AF1DFC">
            <w:pPr>
              <w:ind w:left="360" w:hanging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Dahl R. Demokratija ir jos kritikai. Vilnius: Amžius, 1994.</w:t>
            </w:r>
          </w:p>
          <w:p w:rsidR="00AF1DFC" w:rsidRDefault="003F2C96" w:rsidP="00AF1DFC">
            <w:pPr>
              <w:ind w:left="360" w:hanging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Held D. Demokratijos modeliai. Vilnius: Eugrimas,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lt-LT"/>
              </w:rPr>
              <w:t>2002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lt-LT"/>
              </w:rPr>
              <w:t>.</w:t>
            </w:r>
          </w:p>
          <w:p w:rsidR="00AF1DFC" w:rsidRDefault="0064783D" w:rsidP="00AF1DFC">
            <w:pPr>
              <w:ind w:left="360" w:hanging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Levitsky St. and Way L. Competitive Authoritarianism: Hybrid Regimes after the Cold War. Cambridge University Press, 2010.</w:t>
            </w:r>
          </w:p>
          <w:p w:rsidR="00E7022D" w:rsidRPr="00AF1DFC" w:rsidRDefault="00E7022D" w:rsidP="00AF1DFC">
            <w:pPr>
              <w:ind w:left="360" w:hanging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Lijphart A. Patterns of Democracy: Government Forms and Performance in Thirty Six Countries. Yale University Press, 2nd Edition, 2012.</w:t>
            </w:r>
          </w:p>
          <w:p w:rsidR="00AF1DFC" w:rsidRPr="00AF1DFC" w:rsidRDefault="00AF1DFC" w:rsidP="00AF1DFC">
            <w:pPr>
              <w:ind w:left="360" w:hanging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Linz, Juan. </w:t>
            </w:r>
            <w:r w:rsidRPr="00AF1DFC">
              <w:rPr>
                <w:rFonts w:ascii="Times New Roman" w:eastAsia="Times New Roman" w:hAnsi="Times New Roman"/>
                <w:i/>
                <w:sz w:val="20"/>
                <w:szCs w:val="20"/>
                <w:lang w:eastAsia="lt-LT"/>
              </w:rPr>
              <w:t>Totalitarian and Authoritarian Regimes</w:t>
            </w:r>
            <w:r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, 2000, Boulder: Lynne Rienner Publishers.   </w:t>
            </w:r>
          </w:p>
          <w:p w:rsidR="00AF1DFC" w:rsidRDefault="00AF1DFC" w:rsidP="00AF1DFC">
            <w:pPr>
              <w:ind w:left="360" w:hanging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Linz J. and Stepan A. Problems of Democratic Transition and Consolidation. Southern Europe, South America, and Post-Communist Europe. Baltimore and London: The Johns Hopkins University Press, 1996. </w:t>
            </w:r>
          </w:p>
          <w:p w:rsidR="00AF1DFC" w:rsidRPr="00AF1DFC" w:rsidRDefault="006627E6" w:rsidP="00AF1DFC">
            <w:pPr>
              <w:ind w:left="360" w:hanging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Migdal J. State in Society: Studying How States and Societies Transform and Constitute One Another. Cambridge University Press, 2001.</w:t>
            </w:r>
            <w:r w:rsidR="00AF1DFC"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 </w:t>
            </w:r>
          </w:p>
          <w:p w:rsidR="00AF1DFC" w:rsidRDefault="00AF1DFC" w:rsidP="00AF1DFC">
            <w:pPr>
              <w:ind w:left="360" w:hanging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Norkus Z. Kokia demokratija, koks kapitalizmas? Pokomunistinė transformacija Lietuvos lyginamosios istorinės sociologijos požiūriu. Vilnius: VU leidykla, 2008.</w:t>
            </w:r>
          </w:p>
          <w:p w:rsidR="00AF1DFC" w:rsidRDefault="00E7022D" w:rsidP="00AF1DFC">
            <w:pPr>
              <w:ind w:left="360" w:hanging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North D., Wallis J. and Weingast B. Violence and Social Orders: A Conceptual Framework for Interpreting Recorded Human History. Cambridge University Press, 2009.</w:t>
            </w:r>
          </w:p>
          <w:p w:rsidR="00E7022D" w:rsidRDefault="00E7022D" w:rsidP="00AF1DFC">
            <w:pPr>
              <w:ind w:left="360" w:hanging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Norris P. Making Democratic Governance Work: How Regimes Shape Prosperity, Welfare and Peace. Cambridge University Press, 2012.</w:t>
            </w:r>
          </w:p>
          <w:p w:rsidR="00F87999" w:rsidRPr="0084577B" w:rsidRDefault="00F87999" w:rsidP="00AF1DFC">
            <w:pPr>
              <w:ind w:left="360" w:hanging="360"/>
              <w:jc w:val="both"/>
              <w:rPr>
                <w:rFonts w:ascii="Times New Roman" w:eastAsia="Times New Roman" w:hAnsi="Times New Roman"/>
                <w:sz w:val="20"/>
                <w:szCs w:val="20"/>
                <w:lang w:val="en-GB"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Poguntke T. and Webb P. The Presidentialization of Politics: A Comparative Study of Modern Democracies. Oxford University Press,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lt-LT"/>
              </w:rPr>
              <w:t>2007.</w:t>
            </w:r>
          </w:p>
          <w:p w:rsidR="006627E6" w:rsidRDefault="006627E6" w:rsidP="00AF1DFC">
            <w:pPr>
              <w:ind w:left="360" w:hanging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Rodrik D. The Globalization Paradox: Why Global Markets, States and Democracy Can‘t Coexist</w:t>
            </w:r>
            <w:r w:rsidR="00315F5A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 Oxford University Press, 2011.</w:t>
            </w:r>
          </w:p>
          <w:p w:rsidR="0064783D" w:rsidRDefault="0064783D" w:rsidP="00AF1DFC">
            <w:pPr>
              <w:ind w:left="360" w:hanging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Svolik, M. The Politics of Authoritarian Rule. Cambridge University Press, 2012.</w:t>
            </w:r>
          </w:p>
          <w:p w:rsidR="00E7022D" w:rsidRPr="00E7022D" w:rsidRDefault="007F7E0C" w:rsidP="00AF1DFC">
            <w:pPr>
              <w:ind w:left="360" w:hanging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V-Dem (Varieties of democracy). Tarptautinis demokratijos tyrimų projektas, https://v-dem.net</w:t>
            </w:r>
          </w:p>
          <w:p w:rsidR="00AF1DFC" w:rsidRPr="00AF1DFC" w:rsidRDefault="00AF1DFC" w:rsidP="00AF1DFC">
            <w:pPr>
              <w:ind w:left="360" w:hanging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AF1DFC" w:rsidRPr="00AF1DFC" w:rsidTr="00756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DFC" w:rsidRPr="00AF1DFC" w:rsidRDefault="00AF1DFC" w:rsidP="00AF1DFC">
            <w:pP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Konsultuojančiųjų dėstytojų vardas, pavardė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DFC" w:rsidRPr="00AF1DFC" w:rsidRDefault="00AF1DFC" w:rsidP="00AF1DFC">
            <w:pP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mokslo</w:t>
            </w:r>
          </w:p>
          <w:p w:rsidR="00AF1DFC" w:rsidRPr="00AF1DFC" w:rsidRDefault="00AF1DFC" w:rsidP="00AF1DFC">
            <w:pP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laipsnis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DFC" w:rsidRPr="00AF1DFC" w:rsidRDefault="00AF1DFC" w:rsidP="00AF1DFC">
            <w:pP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pedag.</w:t>
            </w:r>
          </w:p>
          <w:p w:rsidR="00AF1DFC" w:rsidRPr="00AF1DFC" w:rsidRDefault="00AF1DFC" w:rsidP="00AF1DFC">
            <w:pP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Vardas</w:t>
            </w:r>
          </w:p>
        </w:tc>
        <w:tc>
          <w:tcPr>
            <w:tcW w:w="58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DFC" w:rsidRPr="00AF1DFC" w:rsidRDefault="00AF1DFC" w:rsidP="00AF1DFC">
            <w:pP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Svarbiausieji  darbai mokslo kryptyje (šakoje) paskelbti per pastaruosius 5 metus</w:t>
            </w:r>
          </w:p>
        </w:tc>
      </w:tr>
      <w:tr w:rsidR="00AF1DFC" w:rsidRPr="00AF1DFC" w:rsidTr="00756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8" w:type="dxa"/>
            <w:tcBorders>
              <w:left w:val="single" w:sz="12" w:space="0" w:color="auto"/>
              <w:bottom w:val="single" w:sz="8" w:space="0" w:color="auto"/>
            </w:tcBorders>
          </w:tcPr>
          <w:p w:rsidR="00AF1DFC" w:rsidRPr="00AF1DFC" w:rsidRDefault="00AF1DFC" w:rsidP="00AF1DFC">
            <w:pP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lastRenderedPageBreak/>
              <w:t>Algimantas Jankauskas</w:t>
            </w:r>
          </w:p>
        </w:tc>
        <w:tc>
          <w:tcPr>
            <w:tcW w:w="96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F1DFC" w:rsidRPr="00AF1DFC" w:rsidRDefault="00AF1DFC" w:rsidP="00AF1D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Dr.</w:t>
            </w:r>
          </w:p>
        </w:tc>
        <w:tc>
          <w:tcPr>
            <w:tcW w:w="960" w:type="dxa"/>
            <w:gridSpan w:val="2"/>
            <w:tcBorders>
              <w:left w:val="nil"/>
              <w:bottom w:val="single" w:sz="8" w:space="0" w:color="auto"/>
            </w:tcBorders>
          </w:tcPr>
          <w:p w:rsidR="00AF1DFC" w:rsidRPr="00AF1DFC" w:rsidRDefault="00AF1DFC" w:rsidP="00AF1D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Doc.</w:t>
            </w:r>
          </w:p>
        </w:tc>
        <w:tc>
          <w:tcPr>
            <w:tcW w:w="5882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7AE6" w:rsidRDefault="00277AE6" w:rsidP="007F7E0C">
            <w:pPr>
              <w:jc w:val="both"/>
              <w:rPr>
                <w:rFonts w:ascii="Times New Roman" w:hAnsi="Times New Roman"/>
              </w:rPr>
            </w:pPr>
            <w:r w:rsidRPr="0084577B">
              <w:rPr>
                <w:rFonts w:ascii="Times New Roman" w:hAnsi="Times New Roman"/>
              </w:rPr>
              <w:t>A.Jankauskas,</w:t>
            </w:r>
            <w:r w:rsidR="0084577B">
              <w:rPr>
                <w:rFonts w:ascii="Times New Roman" w:hAnsi="Times New Roman"/>
              </w:rPr>
              <w:t xml:space="preserve"> </w:t>
            </w:r>
            <w:r w:rsidRPr="0084577B">
              <w:rPr>
                <w:rFonts w:ascii="Times New Roman" w:hAnsi="Times New Roman"/>
              </w:rPr>
              <w:t xml:space="preserve">Apie pilnutinę demokratiją, Nepriklausomybės sąsiuviniai, 2014, 4(10), p. 45-54.  </w:t>
            </w:r>
          </w:p>
          <w:p w:rsidR="0084577B" w:rsidRDefault="00277AE6" w:rsidP="008457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Lietuvos politinės minties antologija</w:t>
            </w:r>
            <w:r w:rsidR="00E22FC4">
              <w:rPr>
                <w:rFonts w:ascii="Times New Roman" w:hAnsi="Times New Roman"/>
              </w:rPr>
              <w:t>, 3 t. Justinas Dementavičius, Kęstutis Girnius, Algimantas Jankauskas, Alvydas Jokubaitis, Vytautas Radžvilas, Vilnius: VU leidykla, 2012-2013.</w:t>
            </w:r>
          </w:p>
          <w:p w:rsidR="0084577B" w:rsidRDefault="006C1F41" w:rsidP="0084577B">
            <w:pPr>
              <w:jc w:val="both"/>
              <w:rPr>
                <w:rFonts w:ascii="Times New Roman" w:hAnsi="Times New Roman"/>
              </w:rPr>
            </w:pPr>
            <w:r w:rsidRPr="0084577B">
              <w:rPr>
                <w:rFonts w:ascii="Times New Roman" w:hAnsi="Times New Roman"/>
              </w:rPr>
              <w:t>A.Jankauskas, A.Jokubaitis. Tarp individualizmo ir kolektyvizmo: politi</w:t>
            </w:r>
            <w:r w:rsidR="0084577B">
              <w:rPr>
                <w:rFonts w:ascii="Times New Roman" w:hAnsi="Times New Roman"/>
              </w:rPr>
              <w:t>š</w:t>
            </w:r>
            <w:r w:rsidRPr="0084577B">
              <w:rPr>
                <w:rFonts w:ascii="Times New Roman" w:hAnsi="Times New Roman"/>
              </w:rPr>
              <w:t xml:space="preserve">kumo paieškos tarpukario Lietuvoje, in Lietuvos politinės minties antologija, I tomas, Lietuvos politinė mintis 1918-1940. Vilnius: VU leidykla, 2012, p. 13-26.     </w:t>
            </w:r>
          </w:p>
          <w:p w:rsidR="0084577B" w:rsidRDefault="006C1F41" w:rsidP="0084577B">
            <w:pPr>
              <w:jc w:val="both"/>
              <w:rPr>
                <w:rFonts w:ascii="Times New Roman" w:hAnsi="Times New Roman"/>
              </w:rPr>
            </w:pPr>
            <w:r w:rsidRPr="0084577B">
              <w:rPr>
                <w:rFonts w:ascii="Times New Roman" w:hAnsi="Times New Roman"/>
              </w:rPr>
              <w:t>A.Jankauskas. Filosofai – Sąjūdžio ideologai, in Sąjūdžio ištakų beieškant. Nepaklusniųjų tinkaveikos galia. Vilnius: Baltos lankos, 2011, p. 163-18</w:t>
            </w:r>
            <w:r w:rsidR="0084577B">
              <w:rPr>
                <w:rFonts w:ascii="Times New Roman" w:hAnsi="Times New Roman"/>
              </w:rPr>
              <w:t>4.</w:t>
            </w:r>
          </w:p>
          <w:p w:rsidR="006C1F41" w:rsidRPr="0084577B" w:rsidRDefault="006C1F41" w:rsidP="0084577B">
            <w:pPr>
              <w:jc w:val="both"/>
              <w:rPr>
                <w:rFonts w:ascii="Times New Roman" w:hAnsi="Times New Roman"/>
              </w:rPr>
            </w:pPr>
            <w:r w:rsidRPr="0084577B">
              <w:rPr>
                <w:rFonts w:ascii="Times New Roman" w:hAnsi="Times New Roman"/>
              </w:rPr>
              <w:t>A.Ramonaitė, J.Kavaliauskaitė, A.Jankauskas, J.Dementavičius.</w:t>
            </w:r>
            <w:r w:rsidR="00495A8A" w:rsidRPr="0084577B">
              <w:rPr>
                <w:rFonts w:ascii="Times New Roman" w:hAnsi="Times New Roman"/>
              </w:rPr>
              <w:t xml:space="preserve"> </w:t>
            </w:r>
            <w:r w:rsidRPr="0084577B">
              <w:rPr>
                <w:rFonts w:ascii="Times New Roman" w:hAnsi="Times New Roman"/>
              </w:rPr>
              <w:t>Nepažinta Sąjūdžio pramotė: savaimi visuomenė Sąjūdžio gimimo istorijoje, in  Sąjūdžio ištakų beieškant. Nepaklusniųjų tinkaveikos galia. Vilnius: Baltos lankos, 2011, p. 271-317.</w:t>
            </w:r>
          </w:p>
          <w:p w:rsidR="006C1F41" w:rsidRDefault="006C1F41" w:rsidP="006C1F41">
            <w:pPr>
              <w:ind w:left="254" w:hanging="254"/>
              <w:jc w:val="both"/>
            </w:pPr>
          </w:p>
          <w:p w:rsidR="00AF1DFC" w:rsidRPr="00AF1DFC" w:rsidRDefault="00AF1DFC" w:rsidP="00AF1DFC">
            <w:pPr>
              <w:ind w:left="254" w:hanging="254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</w:tr>
      <w:tr w:rsidR="00AF1DFC" w:rsidRPr="00AF1DFC" w:rsidTr="00756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AF1DFC" w:rsidRPr="00AF1DFC" w:rsidRDefault="00C32372" w:rsidP="00AF1DFC">
            <w:pP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Liutauras Gudžinskas</w:t>
            </w:r>
            <w:r w:rsidR="00AF1DFC"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DFC" w:rsidRPr="00AF1DFC" w:rsidRDefault="00AF1DFC" w:rsidP="00AF1D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Dr.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</w:tcBorders>
          </w:tcPr>
          <w:p w:rsidR="00AF1DFC" w:rsidRPr="00AF1DFC" w:rsidRDefault="00AF1DFC" w:rsidP="00C323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5882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372" w:rsidRPr="0084577B" w:rsidRDefault="00C32372" w:rsidP="0084577B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84577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Gudžinskas L., „Europeizacija ir gerovės valstybė Lietuvoje: institucinės sankirtos“, </w:t>
            </w:r>
            <w:r w:rsidRPr="0084577B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>Politologija</w:t>
            </w:r>
            <w:r w:rsidRPr="0084577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84577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GB"/>
              </w:rPr>
              <w:t>2014/4 (76), 124-155.</w:t>
            </w:r>
          </w:p>
          <w:p w:rsidR="00C32372" w:rsidRPr="0084577B" w:rsidRDefault="00C32372" w:rsidP="0084577B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845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Gudžinskas L., „Europos Sąjungos kultūros politika: integracija, dėl kurios nesiderama“. Kn. Istorijos politikos modeliai ir kryptys: Europos Sąjungos, Lenkijos, Rusijos ir Baltarusijos istorijos politika [straipsnių rinkinys]. Vilnius: Vilniaus universiteto leidykla, 2014, 15-62.</w:t>
            </w:r>
          </w:p>
          <w:p w:rsidR="00C32372" w:rsidRPr="0084577B" w:rsidRDefault="00C32372" w:rsidP="0084577B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84577B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Gud</w:t>
            </w:r>
            <w:r w:rsidRPr="00845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žinskas L. „</w:t>
            </w:r>
            <w:r w:rsidRPr="0084577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Development of Health Care in Lithuania and Estonia: Similar Conditions, Different Results“. </w:t>
            </w:r>
            <w:r w:rsidRPr="0084577B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>World Political Science Review</w:t>
            </w:r>
            <w:r w:rsidRPr="0084577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Pr="0084577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GB"/>
              </w:rPr>
              <w:t>2014.</w:t>
            </w:r>
          </w:p>
          <w:p w:rsidR="00C32372" w:rsidRPr="0084577B" w:rsidRDefault="00C32372" w:rsidP="0084577B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84577B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Gudžinskas, L. (together with V. Nakrošis). „Party patronage and State Politicisation in the Postcommunist Countries of Central and Eastern Europe: a Game Theory Approach“. </w:t>
            </w:r>
            <w:r w:rsidRPr="0084577B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en-US"/>
              </w:rPr>
              <w:t>The NISPAcee Public administration and policy journal</w:t>
            </w:r>
            <w:r w:rsidRPr="0084577B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, 2013.</w:t>
            </w:r>
          </w:p>
          <w:p w:rsidR="00C32372" w:rsidRPr="0084577B" w:rsidRDefault="00C32372" w:rsidP="0084577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84577B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Gudžinskas, L. European integration of postcommunist states: safe future or evolutionary trap?, </w:t>
            </w:r>
            <w:r w:rsidRPr="0084577B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en-US"/>
              </w:rPr>
              <w:t>World political science review</w:t>
            </w:r>
            <w:r w:rsidRPr="0084577B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, 2010, Vol. 6, no 1., p. 1-20.</w:t>
            </w:r>
          </w:p>
          <w:p w:rsidR="00AF1DFC" w:rsidRPr="00AF1DFC" w:rsidRDefault="00AF1DFC" w:rsidP="00AF1DFC">
            <w:pPr>
              <w:ind w:left="254" w:hanging="254"/>
              <w:jc w:val="both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AF1DFC" w:rsidRPr="00AF1DFC" w:rsidTr="00756711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200" w:type="dxa"/>
            <w:gridSpan w:val="8"/>
          </w:tcPr>
          <w:p w:rsidR="00AF1DFC" w:rsidRPr="00AF1DFC" w:rsidRDefault="00AF1DFC" w:rsidP="00600FD2">
            <w:pPr>
              <w:spacing w:after="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AF1DF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Patvirtinta TSPMI </w:t>
            </w:r>
            <w:r w:rsidRPr="00600FD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taryboje </w:t>
            </w:r>
            <w:r w:rsidR="00600FD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2015-10-01, protokolo Nr. T-2015-13</w:t>
            </w:r>
          </w:p>
        </w:tc>
      </w:tr>
    </w:tbl>
    <w:p w:rsidR="00AF1DFC" w:rsidRPr="00AF1DFC" w:rsidRDefault="00AF1DFC" w:rsidP="00AF1DFC">
      <w:pPr>
        <w:rPr>
          <w:rFonts w:ascii="Times New Roman" w:eastAsia="Times New Roman" w:hAnsi="Times New Roman"/>
          <w:sz w:val="20"/>
          <w:szCs w:val="20"/>
          <w:lang w:eastAsia="lt-LT"/>
        </w:rPr>
      </w:pPr>
    </w:p>
    <w:p w:rsidR="003B510C" w:rsidRPr="00AF1DFC" w:rsidRDefault="003B510C" w:rsidP="00AF1DFC"/>
    <w:sectPr w:rsidR="003B510C" w:rsidRPr="00AF1DF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11D"/>
    <w:multiLevelType w:val="hybridMultilevel"/>
    <w:tmpl w:val="62B09558"/>
    <w:lvl w:ilvl="0" w:tplc="83A035DA">
      <w:start w:val="1"/>
      <w:numFmt w:val="decimal"/>
      <w:lvlText w:val="%1."/>
      <w:lvlJc w:val="left"/>
      <w:pPr>
        <w:ind w:left="927" w:hanging="360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941D25"/>
    <w:multiLevelType w:val="hybridMultilevel"/>
    <w:tmpl w:val="7B586784"/>
    <w:lvl w:ilvl="0" w:tplc="E5942038">
      <w:start w:val="1"/>
      <w:numFmt w:val="decimal"/>
      <w:lvlText w:val="%1."/>
      <w:lvlJc w:val="left"/>
      <w:pPr>
        <w:ind w:left="927" w:hanging="360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A75291"/>
    <w:multiLevelType w:val="hybridMultilevel"/>
    <w:tmpl w:val="835E2C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D6839"/>
    <w:multiLevelType w:val="hybridMultilevel"/>
    <w:tmpl w:val="711E0FC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654C65"/>
    <w:multiLevelType w:val="hybridMultilevel"/>
    <w:tmpl w:val="5F129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443D2B"/>
    <w:multiLevelType w:val="hybridMultilevel"/>
    <w:tmpl w:val="B650C358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EB94AF5"/>
    <w:multiLevelType w:val="hybridMultilevel"/>
    <w:tmpl w:val="8F948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titude">
    <w15:presenceInfo w15:providerId="None" w15:userId="Latitu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68"/>
    <w:rsid w:val="0005462D"/>
    <w:rsid w:val="00165FDE"/>
    <w:rsid w:val="00277AE6"/>
    <w:rsid w:val="00315F5A"/>
    <w:rsid w:val="003B510C"/>
    <w:rsid w:val="003F2C96"/>
    <w:rsid w:val="00495A8A"/>
    <w:rsid w:val="00600FD2"/>
    <w:rsid w:val="006035AA"/>
    <w:rsid w:val="0064783D"/>
    <w:rsid w:val="006627E6"/>
    <w:rsid w:val="006944A8"/>
    <w:rsid w:val="006C1F41"/>
    <w:rsid w:val="006C6368"/>
    <w:rsid w:val="007F7E0C"/>
    <w:rsid w:val="0084577B"/>
    <w:rsid w:val="00A30AC4"/>
    <w:rsid w:val="00AF1DFC"/>
    <w:rsid w:val="00C32372"/>
    <w:rsid w:val="00CD3D3A"/>
    <w:rsid w:val="00D475D0"/>
    <w:rsid w:val="00E22FC4"/>
    <w:rsid w:val="00E7022D"/>
    <w:rsid w:val="00EB64A3"/>
    <w:rsid w:val="00F8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6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3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C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C9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C32372"/>
  </w:style>
  <w:style w:type="character" w:styleId="CommentReference">
    <w:name w:val="annotation reference"/>
    <w:basedOn w:val="DefaultParagraphFont"/>
    <w:uiPriority w:val="99"/>
    <w:semiHidden/>
    <w:unhideWhenUsed/>
    <w:rsid w:val="00C32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3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37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372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6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3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C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C9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C32372"/>
  </w:style>
  <w:style w:type="character" w:styleId="CommentReference">
    <w:name w:val="annotation reference"/>
    <w:basedOn w:val="DefaultParagraphFont"/>
    <w:uiPriority w:val="99"/>
    <w:semiHidden/>
    <w:unhideWhenUsed/>
    <w:rsid w:val="00C32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3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37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372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3614</Words>
  <Characters>2060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VU TSPMI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AreniDushka</dc:creator>
  <cp:lastModifiedBy>Vilius</cp:lastModifiedBy>
  <cp:revision>2</cp:revision>
  <cp:lastPrinted>2015-10-02T07:15:00Z</cp:lastPrinted>
  <dcterms:created xsi:type="dcterms:W3CDTF">2017-08-28T11:26:00Z</dcterms:created>
  <dcterms:modified xsi:type="dcterms:W3CDTF">2017-08-28T11:26:00Z</dcterms:modified>
</cp:coreProperties>
</file>